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9E" w:rsidRPr="00F55E9E" w:rsidRDefault="00F55E9E" w:rsidP="000C435B">
      <w:pPr>
        <w:spacing w:after="0" w:line="360" w:lineRule="auto"/>
        <w:jc w:val="center"/>
        <w:rPr>
          <w:rFonts w:ascii="Times New Roman" w:eastAsia="Times New Roman" w:hAnsi="Times New Roman" w:cs="Times New Roman"/>
          <w:sz w:val="24"/>
          <w:szCs w:val="24"/>
          <w:lang w:eastAsia="pt-BR"/>
        </w:rPr>
      </w:pPr>
      <w:bookmarkStart w:id="0" w:name="_GoBack"/>
      <w:bookmarkEnd w:id="0"/>
      <w:r w:rsidRPr="00F55E9E">
        <w:rPr>
          <w:rFonts w:ascii="Times New Roman" w:eastAsia="Times New Roman" w:hAnsi="Times New Roman" w:cs="Times New Roman"/>
          <w:color w:val="000000"/>
          <w:sz w:val="24"/>
          <w:szCs w:val="24"/>
          <w:lang w:eastAsia="pt-BR"/>
        </w:rPr>
        <w:t>Notas sobre a escritura pública nas Ordenações Manuelinas</w:t>
      </w:r>
    </w:p>
    <w:p w:rsidR="000C435B" w:rsidRPr="000C435B" w:rsidRDefault="000C435B"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t>Resumo: o presente texto procura simplesmente destacar os dispositivos das Ordenações Manuelinas relacionados com as escrituras públicas, fazendo pequenos comentários para realçar a sua importância histórica.</w:t>
      </w:r>
    </w:p>
    <w:p w:rsidR="000C435B" w:rsidRPr="006E7C63" w:rsidRDefault="000C435B"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val="en-US" w:eastAsia="pt-BR"/>
        </w:rPr>
      </w:pPr>
      <w:r w:rsidRPr="00F55E9E">
        <w:rPr>
          <w:rFonts w:ascii="Times New Roman" w:eastAsia="Times New Roman" w:hAnsi="Times New Roman" w:cs="Times New Roman"/>
          <w:color w:val="000000"/>
          <w:sz w:val="24"/>
          <w:szCs w:val="24"/>
          <w:lang w:val="en-US" w:eastAsia="pt-BR"/>
        </w:rPr>
        <w:t xml:space="preserve">Abstract: this paper just seeks to highlight the provisions of </w:t>
      </w:r>
      <w:proofErr w:type="spellStart"/>
      <w:r w:rsidRPr="00F55E9E">
        <w:rPr>
          <w:rFonts w:ascii="Times New Roman" w:eastAsia="Times New Roman" w:hAnsi="Times New Roman" w:cs="Times New Roman"/>
          <w:color w:val="000000"/>
          <w:sz w:val="24"/>
          <w:szCs w:val="24"/>
          <w:lang w:val="en-US" w:eastAsia="pt-BR"/>
        </w:rPr>
        <w:t>Manoeline</w:t>
      </w:r>
      <w:proofErr w:type="spellEnd"/>
      <w:r w:rsidRPr="00F55E9E">
        <w:rPr>
          <w:rFonts w:ascii="Times New Roman" w:eastAsia="Times New Roman" w:hAnsi="Times New Roman" w:cs="Times New Roman"/>
          <w:color w:val="000000"/>
          <w:sz w:val="24"/>
          <w:szCs w:val="24"/>
          <w:lang w:val="en-US" w:eastAsia="pt-BR"/>
        </w:rPr>
        <w:t xml:space="preserve"> Ordinances relating to public instruments, making little </w:t>
      </w:r>
      <w:proofErr w:type="spellStart"/>
      <w:r w:rsidRPr="00F55E9E">
        <w:rPr>
          <w:rFonts w:ascii="Times New Roman" w:eastAsia="Times New Roman" w:hAnsi="Times New Roman" w:cs="Times New Roman"/>
          <w:color w:val="000000"/>
          <w:sz w:val="24"/>
          <w:szCs w:val="24"/>
          <w:lang w:val="en-US" w:eastAsia="pt-BR"/>
        </w:rPr>
        <w:t>coments</w:t>
      </w:r>
      <w:proofErr w:type="spellEnd"/>
      <w:r w:rsidRPr="00F55E9E">
        <w:rPr>
          <w:rFonts w:ascii="Times New Roman" w:eastAsia="Times New Roman" w:hAnsi="Times New Roman" w:cs="Times New Roman"/>
          <w:color w:val="000000"/>
          <w:sz w:val="24"/>
          <w:szCs w:val="24"/>
          <w:lang w:val="en-US" w:eastAsia="pt-BR"/>
        </w:rPr>
        <w:t xml:space="preserve"> to show its historical importance.</w:t>
      </w:r>
    </w:p>
    <w:p w:rsidR="000C435B" w:rsidRPr="006E7C63" w:rsidRDefault="000C435B" w:rsidP="000C435B">
      <w:pPr>
        <w:spacing w:after="0" w:line="360" w:lineRule="auto"/>
        <w:jc w:val="both"/>
        <w:rPr>
          <w:rFonts w:ascii="Times New Roman" w:eastAsia="Times New Roman" w:hAnsi="Times New Roman" w:cs="Times New Roman"/>
          <w:color w:val="000000"/>
          <w:sz w:val="24"/>
          <w:szCs w:val="24"/>
          <w:lang w:val="en-US"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t xml:space="preserve">Palavras-chave: </w:t>
      </w:r>
      <w:proofErr w:type="spellStart"/>
      <w:proofErr w:type="gramStart"/>
      <w:r w:rsidRPr="00F55E9E">
        <w:rPr>
          <w:rFonts w:ascii="Times New Roman" w:eastAsia="Times New Roman" w:hAnsi="Times New Roman" w:cs="Times New Roman"/>
          <w:color w:val="000000"/>
          <w:sz w:val="24"/>
          <w:szCs w:val="24"/>
          <w:lang w:eastAsia="pt-BR"/>
        </w:rPr>
        <w:t>ordenações.</w:t>
      </w:r>
      <w:proofErr w:type="gramEnd"/>
      <w:r w:rsidRPr="00F55E9E">
        <w:rPr>
          <w:rFonts w:ascii="Times New Roman" w:eastAsia="Times New Roman" w:hAnsi="Times New Roman" w:cs="Times New Roman"/>
          <w:color w:val="000000"/>
          <w:sz w:val="24"/>
          <w:szCs w:val="24"/>
          <w:lang w:eastAsia="pt-BR"/>
        </w:rPr>
        <w:t>manoelinas.escrituras</w:t>
      </w:r>
      <w:proofErr w:type="spellEnd"/>
      <w:r w:rsidRPr="00F55E9E">
        <w:rPr>
          <w:rFonts w:ascii="Times New Roman" w:eastAsia="Times New Roman" w:hAnsi="Times New Roman" w:cs="Times New Roman"/>
          <w:color w:val="000000"/>
          <w:sz w:val="24"/>
          <w:szCs w:val="24"/>
          <w:lang w:eastAsia="pt-BR"/>
        </w:rPr>
        <w:t xml:space="preserve"> </w:t>
      </w:r>
      <w:proofErr w:type="spellStart"/>
      <w:r w:rsidRPr="00F55E9E">
        <w:rPr>
          <w:rFonts w:ascii="Times New Roman" w:eastAsia="Times New Roman" w:hAnsi="Times New Roman" w:cs="Times New Roman"/>
          <w:color w:val="000000"/>
          <w:sz w:val="24"/>
          <w:szCs w:val="24"/>
          <w:lang w:eastAsia="pt-BR"/>
        </w:rPr>
        <w:t>públicas.tabelião.história</w:t>
      </w:r>
      <w:proofErr w:type="spellEnd"/>
      <w:r w:rsidRPr="00F55E9E">
        <w:rPr>
          <w:rFonts w:ascii="Times New Roman" w:eastAsia="Times New Roman" w:hAnsi="Times New Roman" w:cs="Times New Roman"/>
          <w:color w:val="000000"/>
          <w:sz w:val="24"/>
          <w:szCs w:val="24"/>
          <w:lang w:eastAsia="pt-BR"/>
        </w:rPr>
        <w:t xml:space="preserve"> do direito</w:t>
      </w:r>
    </w:p>
    <w:p w:rsidR="00F55E9E" w:rsidRPr="00F55E9E" w:rsidRDefault="00F55E9E" w:rsidP="000C435B">
      <w:pPr>
        <w:spacing w:after="0" w:line="360" w:lineRule="auto"/>
        <w:jc w:val="both"/>
        <w:rPr>
          <w:rFonts w:ascii="Times New Roman" w:eastAsia="Times New Roman" w:hAnsi="Times New Roman" w:cs="Times New Roman"/>
          <w:sz w:val="24"/>
          <w:szCs w:val="24"/>
          <w:lang w:val="en-US" w:eastAsia="pt-BR"/>
        </w:rPr>
      </w:pPr>
      <w:r w:rsidRPr="00F55E9E">
        <w:rPr>
          <w:rFonts w:ascii="Times New Roman" w:eastAsia="Times New Roman" w:hAnsi="Times New Roman" w:cs="Times New Roman"/>
          <w:color w:val="000000"/>
          <w:sz w:val="24"/>
          <w:szCs w:val="24"/>
          <w:lang w:val="en-US" w:eastAsia="pt-BR"/>
        </w:rPr>
        <w:t xml:space="preserve">Keywords: </w:t>
      </w:r>
      <w:proofErr w:type="spellStart"/>
      <w:r w:rsidRPr="00F55E9E">
        <w:rPr>
          <w:rFonts w:ascii="Times New Roman" w:eastAsia="Times New Roman" w:hAnsi="Times New Roman" w:cs="Times New Roman"/>
          <w:color w:val="000000"/>
          <w:sz w:val="24"/>
          <w:szCs w:val="24"/>
          <w:lang w:val="en-US" w:eastAsia="pt-BR"/>
        </w:rPr>
        <w:t>ordinances.manoeline.public</w:t>
      </w:r>
      <w:proofErr w:type="spellEnd"/>
      <w:r w:rsidRPr="00F55E9E">
        <w:rPr>
          <w:rFonts w:ascii="Times New Roman" w:eastAsia="Times New Roman" w:hAnsi="Times New Roman" w:cs="Times New Roman"/>
          <w:color w:val="000000"/>
          <w:sz w:val="24"/>
          <w:szCs w:val="24"/>
          <w:lang w:val="en-US" w:eastAsia="pt-BR"/>
        </w:rPr>
        <w:t xml:space="preserve"> </w:t>
      </w:r>
      <w:proofErr w:type="spellStart"/>
      <w:r w:rsidRPr="00F55E9E">
        <w:rPr>
          <w:rFonts w:ascii="Times New Roman" w:eastAsia="Times New Roman" w:hAnsi="Times New Roman" w:cs="Times New Roman"/>
          <w:color w:val="000000"/>
          <w:sz w:val="24"/>
          <w:szCs w:val="24"/>
          <w:lang w:val="en-US" w:eastAsia="pt-BR"/>
        </w:rPr>
        <w:t>instruments.notary.history</w:t>
      </w:r>
      <w:proofErr w:type="spellEnd"/>
      <w:r w:rsidRPr="00F55E9E">
        <w:rPr>
          <w:rFonts w:ascii="Times New Roman" w:eastAsia="Times New Roman" w:hAnsi="Times New Roman" w:cs="Times New Roman"/>
          <w:color w:val="000000"/>
          <w:sz w:val="24"/>
          <w:szCs w:val="24"/>
          <w:lang w:val="en-US" w:eastAsia="pt-BR"/>
        </w:rPr>
        <w:t xml:space="preserve"> law</w:t>
      </w:r>
    </w:p>
    <w:p w:rsidR="000C435B" w:rsidRPr="006E7C63" w:rsidRDefault="000C435B" w:rsidP="000C435B">
      <w:pPr>
        <w:spacing w:after="0" w:line="360" w:lineRule="auto"/>
        <w:jc w:val="both"/>
        <w:rPr>
          <w:rFonts w:ascii="Times New Roman" w:eastAsia="Times New Roman" w:hAnsi="Times New Roman" w:cs="Times New Roman"/>
          <w:color w:val="000000"/>
          <w:sz w:val="24"/>
          <w:szCs w:val="24"/>
          <w:lang w:val="en-US"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t xml:space="preserve">SUMÁRIO: </w:t>
      </w:r>
      <w:proofErr w:type="gramStart"/>
      <w:r w:rsidRPr="00F55E9E">
        <w:rPr>
          <w:rFonts w:ascii="Times New Roman" w:eastAsia="Times New Roman" w:hAnsi="Times New Roman" w:cs="Times New Roman"/>
          <w:color w:val="000000"/>
          <w:sz w:val="24"/>
          <w:szCs w:val="24"/>
          <w:lang w:eastAsia="pt-BR"/>
        </w:rPr>
        <w:t>1</w:t>
      </w:r>
      <w:proofErr w:type="gramEnd"/>
      <w:r w:rsidRPr="00F55E9E">
        <w:rPr>
          <w:rFonts w:ascii="Times New Roman" w:eastAsia="Times New Roman" w:hAnsi="Times New Roman" w:cs="Times New Roman"/>
          <w:color w:val="000000"/>
          <w:sz w:val="24"/>
          <w:szCs w:val="24"/>
          <w:lang w:eastAsia="pt-BR"/>
        </w:rPr>
        <w:t xml:space="preserve">. Introdução – 2. Pequenas referências à história das ordenações – </w:t>
      </w:r>
      <w:proofErr w:type="gramStart"/>
      <w:r w:rsidRPr="00F55E9E">
        <w:rPr>
          <w:rFonts w:ascii="Times New Roman" w:eastAsia="Times New Roman" w:hAnsi="Times New Roman" w:cs="Times New Roman"/>
          <w:color w:val="000000"/>
          <w:sz w:val="24"/>
          <w:szCs w:val="24"/>
          <w:lang w:eastAsia="pt-BR"/>
        </w:rPr>
        <w:t>3.</w:t>
      </w:r>
      <w:proofErr w:type="gramEnd"/>
      <w:r w:rsidRPr="00F55E9E">
        <w:rPr>
          <w:rFonts w:ascii="Times New Roman" w:eastAsia="Times New Roman" w:hAnsi="Times New Roman" w:cs="Times New Roman"/>
          <w:color w:val="000000"/>
          <w:sz w:val="24"/>
          <w:szCs w:val="24"/>
          <w:lang w:eastAsia="pt-BR"/>
        </w:rPr>
        <w:t>Livro I – 4. Livro II – 5. Livro III – 6. Livro IV – 7. Livro V – 8. Conclusão</w:t>
      </w:r>
    </w:p>
    <w:p w:rsidR="00F55E9E" w:rsidRPr="00F55E9E" w:rsidRDefault="00F55E9E" w:rsidP="000C435B">
      <w:pPr>
        <w:spacing w:after="240" w:line="360" w:lineRule="auto"/>
        <w:rPr>
          <w:rFonts w:ascii="Times New Roman" w:eastAsia="Times New Roman" w:hAnsi="Times New Roman" w:cs="Times New Roman"/>
          <w:sz w:val="24"/>
          <w:szCs w:val="24"/>
          <w:lang w:eastAsia="pt-BR"/>
        </w:rPr>
      </w:pPr>
      <w:r w:rsidRPr="00F55E9E">
        <w:rPr>
          <w:rFonts w:ascii="Times New Roman" w:eastAsia="Times New Roman" w:hAnsi="Times New Roman" w:cs="Times New Roman"/>
          <w:sz w:val="24"/>
          <w:szCs w:val="24"/>
          <w:lang w:eastAsia="pt-BR"/>
        </w:rPr>
        <w:br/>
      </w:r>
      <w:r w:rsidRPr="00F55E9E">
        <w:rPr>
          <w:rFonts w:ascii="Times New Roman" w:eastAsia="Times New Roman" w:hAnsi="Times New Roman" w:cs="Times New Roman"/>
          <w:sz w:val="24"/>
          <w:szCs w:val="24"/>
          <w:lang w:eastAsia="pt-BR"/>
        </w:rPr>
        <w:br/>
      </w:r>
      <w:r w:rsidRPr="00F55E9E">
        <w:rPr>
          <w:rFonts w:ascii="Times New Roman" w:eastAsia="Times New Roman" w:hAnsi="Times New Roman" w:cs="Times New Roman"/>
          <w:sz w:val="24"/>
          <w:szCs w:val="24"/>
          <w:lang w:eastAsia="pt-BR"/>
        </w:rPr>
        <w:br/>
      </w:r>
      <w:r w:rsidRPr="00F55E9E">
        <w:rPr>
          <w:rFonts w:ascii="Times New Roman" w:eastAsia="Times New Roman" w:hAnsi="Times New Roman" w:cs="Times New Roman"/>
          <w:sz w:val="24"/>
          <w:szCs w:val="24"/>
          <w:lang w:eastAsia="pt-BR"/>
        </w:rPr>
        <w:br/>
      </w: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0C435B" w:rsidRDefault="000C435B" w:rsidP="000C435B">
      <w:pPr>
        <w:spacing w:after="0" w:line="360" w:lineRule="auto"/>
        <w:ind w:firstLine="2840"/>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ind w:firstLine="2840"/>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lastRenderedPageBreak/>
        <w:t>1. Na sequência do ensaio sobre a escritura pública nas Ordenações Afonsinas, publicado no nº 76 da Revista de Direito Imobiliário, vem o presente texto, o qual procura extrair das Ordenações Manuelinas os dispositivos referentes às escrituras públicas.</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ind w:firstLine="2840"/>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t>Esclarece-se que foram feitas pesquisas no acervo da biblioteca da Faculdade de Direito da Universidade de São Paulo, não tendo o autor logrado sucesso em encontrar textos que amparassem seus comentários sobre as escrituras públicas nas citadas ordenações, sendo localizados apenas artigos que tratavam sobre a história geral das ordenações ou sobre outros assuntos jurídicos.</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ind w:firstLine="2840"/>
        <w:jc w:val="both"/>
        <w:rPr>
          <w:rFonts w:ascii="Times New Roman" w:eastAsia="Times New Roman" w:hAnsi="Times New Roman" w:cs="Times New Roman"/>
          <w:color w:val="000000"/>
          <w:sz w:val="24"/>
          <w:szCs w:val="24"/>
          <w:lang w:eastAsia="pt-BR"/>
        </w:rPr>
      </w:pPr>
      <w:r w:rsidRPr="00F55E9E">
        <w:rPr>
          <w:rFonts w:ascii="Times New Roman" w:eastAsia="Times New Roman" w:hAnsi="Times New Roman" w:cs="Times New Roman"/>
          <w:color w:val="000000"/>
          <w:sz w:val="24"/>
          <w:szCs w:val="24"/>
          <w:lang w:eastAsia="pt-BR"/>
        </w:rPr>
        <w:t>Então, o ensaio que segue é um singelo relatório dos dispositivos constantes das citadas ordenações que tratam das escrituras públicas, acrescidos de breves comentários do autor.</w:t>
      </w:r>
    </w:p>
    <w:p w:rsidR="000C435B" w:rsidRPr="00F55E9E" w:rsidRDefault="000C435B" w:rsidP="000C435B">
      <w:pPr>
        <w:spacing w:after="0" w:line="360" w:lineRule="auto"/>
        <w:ind w:firstLine="2840"/>
        <w:jc w:val="both"/>
        <w:rPr>
          <w:rFonts w:ascii="Times New Roman" w:eastAsia="Times New Roman" w:hAnsi="Times New Roman" w:cs="Times New Roman"/>
          <w:sz w:val="24"/>
          <w:szCs w:val="24"/>
          <w:lang w:eastAsia="pt-BR"/>
        </w:rPr>
      </w:pPr>
    </w:p>
    <w:p w:rsidR="00F55E9E" w:rsidRDefault="00F55E9E" w:rsidP="000C435B">
      <w:pPr>
        <w:spacing w:after="0" w:line="360" w:lineRule="auto"/>
        <w:ind w:firstLine="2840"/>
        <w:jc w:val="both"/>
        <w:rPr>
          <w:rFonts w:ascii="Times New Roman" w:eastAsia="Times New Roman" w:hAnsi="Times New Roman" w:cs="Times New Roman"/>
          <w:color w:val="000000"/>
          <w:sz w:val="24"/>
          <w:szCs w:val="24"/>
          <w:lang w:eastAsia="pt-BR"/>
        </w:rPr>
      </w:pPr>
      <w:r w:rsidRPr="00F55E9E">
        <w:rPr>
          <w:rFonts w:ascii="Times New Roman" w:eastAsia="Times New Roman" w:hAnsi="Times New Roman" w:cs="Times New Roman"/>
          <w:color w:val="000000"/>
          <w:sz w:val="24"/>
          <w:szCs w:val="24"/>
          <w:lang w:eastAsia="pt-BR"/>
        </w:rPr>
        <w:t xml:space="preserve">É bom esclarecer que foi utilizada a versão das referidas </w:t>
      </w:r>
      <w:proofErr w:type="gramStart"/>
      <w:r w:rsidRPr="00F55E9E">
        <w:rPr>
          <w:rFonts w:ascii="Times New Roman" w:eastAsia="Times New Roman" w:hAnsi="Times New Roman" w:cs="Times New Roman"/>
          <w:color w:val="000000"/>
          <w:sz w:val="24"/>
          <w:szCs w:val="24"/>
          <w:lang w:eastAsia="pt-BR"/>
        </w:rPr>
        <w:t>ordenações disponível em 25 de abril de 2014 no site da Universidade de Coimbra</w:t>
      </w:r>
      <w:proofErr w:type="gramEnd"/>
      <w:r w:rsidRPr="00F55E9E">
        <w:rPr>
          <w:rFonts w:ascii="Times New Roman" w:eastAsia="Times New Roman" w:hAnsi="Times New Roman" w:cs="Times New Roman"/>
          <w:color w:val="000000"/>
          <w:sz w:val="24"/>
          <w:szCs w:val="24"/>
          <w:lang w:eastAsia="pt-BR"/>
        </w:rPr>
        <w:t xml:space="preserve"> (</w:t>
      </w:r>
      <w:hyperlink r:id="rId8" w:history="1">
        <w:r w:rsidR="000C435B" w:rsidRPr="00A633E7">
          <w:rPr>
            <w:rStyle w:val="Hyperlink"/>
            <w:rFonts w:ascii="Times New Roman" w:eastAsia="Times New Roman" w:hAnsi="Times New Roman" w:cs="Times New Roman"/>
            <w:sz w:val="24"/>
            <w:szCs w:val="24"/>
            <w:lang w:eastAsia="pt-BR"/>
          </w:rPr>
          <w:t>http://www.ci.uc.pt/ihti/proj/manuelinas//ordemanu.htm</w:t>
        </w:r>
      </w:hyperlink>
      <w:r w:rsidRPr="00F55E9E">
        <w:rPr>
          <w:rFonts w:ascii="Times New Roman" w:eastAsia="Times New Roman" w:hAnsi="Times New Roman" w:cs="Times New Roman"/>
          <w:color w:val="000000"/>
          <w:sz w:val="24"/>
          <w:szCs w:val="24"/>
          <w:lang w:eastAsia="pt-BR"/>
        </w:rPr>
        <w:t>).</w:t>
      </w:r>
    </w:p>
    <w:p w:rsidR="000C435B" w:rsidRPr="00F55E9E" w:rsidRDefault="000C435B" w:rsidP="000C435B">
      <w:pPr>
        <w:spacing w:after="0" w:line="360" w:lineRule="auto"/>
        <w:ind w:firstLine="2840"/>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t>                                          </w:t>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2. Conta-se que as Ordenações Afonsinas, que entraram em vigor em meados do século XV, eram manuscritas e que, exatamente por isso, tiveram pouca circulação, haja vista a óbvia dificuldade de fazer cópias à mão de um longo texto</w:t>
      </w:r>
      <w:r w:rsidR="000C435B">
        <w:rPr>
          <w:rStyle w:val="Refdenotaderodap"/>
          <w:rFonts w:ascii="Times New Roman" w:eastAsia="Times New Roman" w:hAnsi="Times New Roman" w:cs="Times New Roman"/>
          <w:color w:val="000000"/>
          <w:sz w:val="24"/>
          <w:szCs w:val="24"/>
          <w:lang w:eastAsia="pt-BR"/>
        </w:rPr>
        <w:footnoteReference w:id="1"/>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t>                                          </w:t>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Diante da introdução da imprensa em Portugal em 1487, Dom Manuel, rei português de 1495 a 1521 - e</w:t>
      </w:r>
      <w:proofErr w:type="gramStart"/>
      <w:r w:rsidRPr="00F55E9E">
        <w:rPr>
          <w:rFonts w:ascii="Times New Roman" w:eastAsia="Times New Roman" w:hAnsi="Times New Roman" w:cs="Times New Roman"/>
          <w:color w:val="000000"/>
          <w:sz w:val="24"/>
          <w:szCs w:val="24"/>
          <w:lang w:eastAsia="pt-BR"/>
        </w:rPr>
        <w:t xml:space="preserve"> portanto</w:t>
      </w:r>
      <w:proofErr w:type="gramEnd"/>
      <w:r w:rsidRPr="00F55E9E">
        <w:rPr>
          <w:rFonts w:ascii="Times New Roman" w:eastAsia="Times New Roman" w:hAnsi="Times New Roman" w:cs="Times New Roman"/>
          <w:color w:val="000000"/>
          <w:sz w:val="24"/>
          <w:szCs w:val="24"/>
          <w:lang w:eastAsia="pt-BR"/>
        </w:rPr>
        <w:t xml:space="preserve"> o primeiro rei europeu do Brasil -, quis imprimir as ordenações do reino para facilitar sua divulgação, determinando que antes seu texto fosse atualizado com as leis editadas após a entrada em vigor do texto afonsino</w:t>
      </w:r>
      <w:r w:rsidR="000C435B">
        <w:rPr>
          <w:rStyle w:val="Refdenotaderodap"/>
          <w:rFonts w:ascii="Times New Roman" w:eastAsia="Times New Roman" w:hAnsi="Times New Roman" w:cs="Times New Roman"/>
          <w:color w:val="000000"/>
          <w:sz w:val="24"/>
          <w:szCs w:val="24"/>
          <w:lang w:eastAsia="pt-BR"/>
        </w:rPr>
        <w:footnoteReference w:id="2"/>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lastRenderedPageBreak/>
        <w:t>                                          </w:t>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E o texto das ordenações precedentes acabou sendo aprimorado também, sendo comuns na doutrina os comentários de que as Ordenações Manuelinas foram escritas com estilo mais conciso</w:t>
      </w:r>
      <w:r w:rsidR="000C435B">
        <w:rPr>
          <w:rStyle w:val="Refdenotaderodap"/>
          <w:rFonts w:ascii="Times New Roman" w:eastAsia="Times New Roman" w:hAnsi="Times New Roman" w:cs="Times New Roman"/>
          <w:color w:val="000000"/>
          <w:sz w:val="24"/>
          <w:szCs w:val="24"/>
          <w:lang w:eastAsia="pt-BR"/>
        </w:rPr>
        <w:footnoteReference w:id="3"/>
      </w:r>
      <w:r w:rsidRPr="00F55E9E">
        <w:rPr>
          <w:rFonts w:ascii="Times New Roman" w:eastAsia="Times New Roman" w:hAnsi="Times New Roman" w:cs="Times New Roman"/>
          <w:color w:val="000000"/>
          <w:sz w:val="24"/>
          <w:szCs w:val="24"/>
          <w:lang w:eastAsia="pt-BR"/>
        </w:rPr>
        <w:t>.</w:t>
      </w: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t>                                          </w:t>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Manteve-se a mesma ordem do texto afonsino, sendo todo o diploma dividido em </w:t>
      </w:r>
      <w:proofErr w:type="gramStart"/>
      <w:r w:rsidRPr="00F55E9E">
        <w:rPr>
          <w:rFonts w:ascii="Times New Roman" w:eastAsia="Times New Roman" w:hAnsi="Times New Roman" w:cs="Times New Roman"/>
          <w:color w:val="000000"/>
          <w:sz w:val="24"/>
          <w:szCs w:val="24"/>
          <w:lang w:eastAsia="pt-BR"/>
        </w:rPr>
        <w:t>5</w:t>
      </w:r>
      <w:proofErr w:type="gramEnd"/>
      <w:r w:rsidRPr="00F55E9E">
        <w:rPr>
          <w:rFonts w:ascii="Times New Roman" w:eastAsia="Times New Roman" w:hAnsi="Times New Roman" w:cs="Times New Roman"/>
          <w:color w:val="000000"/>
          <w:sz w:val="24"/>
          <w:szCs w:val="24"/>
          <w:lang w:eastAsia="pt-BR"/>
        </w:rPr>
        <w:t xml:space="preserve"> livros: o primeiro dedicado aos oficiais do reino, o segundo reunindo disposições sobre assuntos diversos sem uma aparente ligação entre si, o terceiro sobre processo, o quarto sobre direito civil e o quinto sobre direito penal</w:t>
      </w:r>
      <w:r w:rsidR="0013331A">
        <w:rPr>
          <w:rStyle w:val="Refdenotaderodap"/>
          <w:rFonts w:ascii="Times New Roman" w:eastAsia="Times New Roman" w:hAnsi="Times New Roman" w:cs="Times New Roman"/>
          <w:color w:val="000000"/>
          <w:sz w:val="24"/>
          <w:szCs w:val="24"/>
          <w:lang w:eastAsia="pt-BR"/>
        </w:rPr>
        <w:footnoteReference w:id="4"/>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Este </w:t>
      </w:r>
      <w:proofErr w:type="gramStart"/>
      <w:r w:rsidRPr="00F55E9E">
        <w:rPr>
          <w:rFonts w:ascii="Times New Roman" w:eastAsia="Times New Roman" w:hAnsi="Times New Roman" w:cs="Times New Roman"/>
          <w:color w:val="000000"/>
          <w:sz w:val="24"/>
          <w:szCs w:val="24"/>
          <w:lang w:eastAsia="pt-BR"/>
        </w:rPr>
        <w:t>autor pensa que é lícito</w:t>
      </w:r>
      <w:proofErr w:type="gramEnd"/>
      <w:r w:rsidRPr="00F55E9E">
        <w:rPr>
          <w:rFonts w:ascii="Times New Roman" w:eastAsia="Times New Roman" w:hAnsi="Times New Roman" w:cs="Times New Roman"/>
          <w:color w:val="000000"/>
          <w:sz w:val="24"/>
          <w:szCs w:val="24"/>
          <w:lang w:eastAsia="pt-BR"/>
        </w:rPr>
        <w:t xml:space="preserve"> acrescentar que, enquanto as ordenações afonsinas eram fundamentalmente uma consolidação de leis, ou seja, uma compilação de dispositivos legais que antes estavam esparsos em diversos diplomas distintos, as ordenações manuelinas davam uma nova redação às leis portuguesas, revogando as disposições contrárias, excetuando-se um ou outro trecho em que se compilava uma lei anterior.</w:t>
      </w:r>
    </w:p>
    <w:p w:rsidR="00F55E9E" w:rsidRPr="00F55E9E" w:rsidRDefault="00F55E9E" w:rsidP="0013331A">
      <w:pPr>
        <w:spacing w:after="0" w:line="360" w:lineRule="auto"/>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t>                                           </w:t>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3.1 O caput do título LIX do Livro I, intitulado “Dos </w:t>
      </w:r>
      <w:proofErr w:type="spellStart"/>
      <w:r w:rsidRPr="00F55E9E">
        <w:rPr>
          <w:rFonts w:ascii="Times New Roman" w:eastAsia="Times New Roman" w:hAnsi="Times New Roman" w:cs="Times New Roman"/>
          <w:color w:val="000000"/>
          <w:sz w:val="24"/>
          <w:szCs w:val="24"/>
          <w:lang w:eastAsia="pt-BR"/>
        </w:rPr>
        <w:t>Tabaliães</w:t>
      </w:r>
      <w:proofErr w:type="spellEnd"/>
      <w:r w:rsidRPr="00F55E9E">
        <w:rPr>
          <w:rFonts w:ascii="Times New Roman" w:eastAsia="Times New Roman" w:hAnsi="Times New Roman" w:cs="Times New Roman"/>
          <w:color w:val="000000"/>
          <w:sz w:val="24"/>
          <w:szCs w:val="24"/>
          <w:lang w:eastAsia="pt-BR"/>
        </w:rPr>
        <w:t xml:space="preserve"> das Notas e do que a seus </w:t>
      </w:r>
      <w:proofErr w:type="spellStart"/>
      <w:r w:rsidRPr="00F55E9E">
        <w:rPr>
          <w:rFonts w:ascii="Times New Roman" w:eastAsia="Times New Roman" w:hAnsi="Times New Roman" w:cs="Times New Roman"/>
          <w:color w:val="000000"/>
          <w:sz w:val="24"/>
          <w:szCs w:val="24"/>
          <w:lang w:eastAsia="pt-BR"/>
        </w:rPr>
        <w:t>officios</w:t>
      </w:r>
      <w:proofErr w:type="spellEnd"/>
      <w:r w:rsidRPr="00F55E9E">
        <w:rPr>
          <w:rFonts w:ascii="Times New Roman" w:eastAsia="Times New Roman" w:hAnsi="Times New Roman" w:cs="Times New Roman"/>
          <w:color w:val="000000"/>
          <w:sz w:val="24"/>
          <w:szCs w:val="24"/>
          <w:lang w:eastAsia="pt-BR"/>
        </w:rPr>
        <w:t xml:space="preserve"> pertence” estabelecia que os tabeliães </w:t>
      </w:r>
      <w:proofErr w:type="gramStart"/>
      <w:r w:rsidRPr="00F55E9E">
        <w:rPr>
          <w:rFonts w:ascii="Times New Roman" w:eastAsia="Times New Roman" w:hAnsi="Times New Roman" w:cs="Times New Roman"/>
          <w:color w:val="000000"/>
          <w:sz w:val="24"/>
          <w:szCs w:val="24"/>
          <w:lang w:eastAsia="pt-BR"/>
        </w:rPr>
        <w:t>deviam</w:t>
      </w:r>
      <w:proofErr w:type="gramEnd"/>
      <w:r w:rsidRPr="00F55E9E">
        <w:rPr>
          <w:rFonts w:ascii="Times New Roman" w:eastAsia="Times New Roman" w:hAnsi="Times New Roman" w:cs="Times New Roman"/>
          <w:color w:val="000000"/>
          <w:sz w:val="24"/>
          <w:szCs w:val="24"/>
          <w:lang w:eastAsia="pt-BR"/>
        </w:rPr>
        <w:t xml:space="preserve"> escrever as notas dos contratos que fizessem em seu livro de notas e depois as deviam ler às partes e a no mínimo duas testemunhas, recolhendo as assinaturas de todos ao final, o que guarda nítida semelhança com as disposições do código civil em vigor</w:t>
      </w:r>
      <w:r w:rsidR="0013331A">
        <w:rPr>
          <w:rStyle w:val="Refdenotaderodap"/>
          <w:rFonts w:ascii="Times New Roman" w:eastAsia="Times New Roman" w:hAnsi="Times New Roman" w:cs="Times New Roman"/>
          <w:color w:val="000000"/>
          <w:sz w:val="24"/>
          <w:szCs w:val="24"/>
          <w:lang w:eastAsia="pt-BR"/>
        </w:rPr>
        <w:footnoteReference w:id="5"/>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Se uma das partes não soubesse assinar, </w:t>
      </w:r>
      <w:proofErr w:type="gramStart"/>
      <w:r w:rsidRPr="00F55E9E">
        <w:rPr>
          <w:rFonts w:ascii="Times New Roman" w:eastAsia="Times New Roman" w:hAnsi="Times New Roman" w:cs="Times New Roman"/>
          <w:color w:val="000000"/>
          <w:sz w:val="24"/>
          <w:szCs w:val="24"/>
          <w:lang w:eastAsia="pt-BR"/>
        </w:rPr>
        <w:t>uma outra</w:t>
      </w:r>
      <w:proofErr w:type="gramEnd"/>
      <w:r w:rsidRPr="00F55E9E">
        <w:rPr>
          <w:rFonts w:ascii="Times New Roman" w:eastAsia="Times New Roman" w:hAnsi="Times New Roman" w:cs="Times New Roman"/>
          <w:color w:val="000000"/>
          <w:sz w:val="24"/>
          <w:szCs w:val="24"/>
          <w:lang w:eastAsia="pt-BR"/>
        </w:rPr>
        <w:t xml:space="preserve"> pessoa, além das duas testemunhas, devia assinar por ela, bem como as correções e adições deviam ser feitas antes das assinaturas, com a anotação no fim da nota dessa circunstância, sendo certo que ainda hoje o código civil brasileiro prevê a chamada </w:t>
      </w:r>
      <w:r w:rsidRPr="00F55E9E">
        <w:rPr>
          <w:rFonts w:ascii="Times New Roman" w:eastAsia="Times New Roman" w:hAnsi="Times New Roman" w:cs="Times New Roman"/>
          <w:color w:val="000000"/>
          <w:sz w:val="24"/>
          <w:szCs w:val="24"/>
          <w:lang w:eastAsia="pt-BR"/>
        </w:rPr>
        <w:lastRenderedPageBreak/>
        <w:t>assinatura a rogo</w:t>
      </w:r>
      <w:r w:rsidR="0013331A">
        <w:rPr>
          <w:rStyle w:val="Refdenotaderodap"/>
          <w:rFonts w:ascii="Times New Roman" w:eastAsia="Times New Roman" w:hAnsi="Times New Roman" w:cs="Times New Roman"/>
          <w:color w:val="000000"/>
          <w:sz w:val="24"/>
          <w:szCs w:val="24"/>
          <w:lang w:eastAsia="pt-BR"/>
        </w:rPr>
        <w:footnoteReference w:id="6"/>
      </w:r>
      <w:r w:rsidRPr="00F55E9E">
        <w:rPr>
          <w:rFonts w:ascii="Times New Roman" w:eastAsia="Times New Roman" w:hAnsi="Times New Roman" w:cs="Times New Roman"/>
          <w:color w:val="000000"/>
          <w:sz w:val="24"/>
          <w:szCs w:val="24"/>
          <w:lang w:eastAsia="pt-BR"/>
        </w:rPr>
        <w:t>, bem como as normas de serviço da Corregedoria Geral de Justiça do Estado de São Paulo estabelecem regras muito semelhantes a respeito das entrelinhas e emendas</w:t>
      </w:r>
      <w:r w:rsidR="0013331A">
        <w:rPr>
          <w:rStyle w:val="Refdenotaderodap"/>
          <w:rFonts w:ascii="Times New Roman" w:eastAsia="Times New Roman" w:hAnsi="Times New Roman" w:cs="Times New Roman"/>
          <w:color w:val="000000"/>
          <w:sz w:val="24"/>
          <w:szCs w:val="24"/>
          <w:lang w:eastAsia="pt-BR"/>
        </w:rPr>
        <w:footnoteReference w:id="7"/>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Se o tabelião não conhecesse alguma das partes, era necessário, por força do item </w:t>
      </w:r>
      <w:proofErr w:type="gramStart"/>
      <w:r w:rsidRPr="00F55E9E">
        <w:rPr>
          <w:rFonts w:ascii="Times New Roman" w:eastAsia="Times New Roman" w:hAnsi="Times New Roman" w:cs="Times New Roman"/>
          <w:color w:val="000000"/>
          <w:sz w:val="24"/>
          <w:szCs w:val="24"/>
          <w:lang w:eastAsia="pt-BR"/>
        </w:rPr>
        <w:t>2</w:t>
      </w:r>
      <w:proofErr w:type="gramEnd"/>
      <w:r w:rsidRPr="00F55E9E">
        <w:rPr>
          <w:rFonts w:ascii="Times New Roman" w:eastAsia="Times New Roman" w:hAnsi="Times New Roman" w:cs="Times New Roman"/>
          <w:color w:val="000000"/>
          <w:sz w:val="24"/>
          <w:szCs w:val="24"/>
          <w:lang w:eastAsia="pt-BR"/>
        </w:rPr>
        <w:t xml:space="preserve"> do referido título, que a desconhecida trouxesse duas testemunhas conhecidas do tabelião e dignas de fé, fazendo-se a anotação dessa circunstância no final da nota, havendo disposição muito semelhante no código civil atual, o qual difere apenas ao prever que a parte pode se identificar por documentos, o que, por motivos óbvios, não era possível no século XVI</w:t>
      </w:r>
      <w:r w:rsidR="0013331A">
        <w:rPr>
          <w:rStyle w:val="Refdenotaderodap"/>
          <w:rFonts w:ascii="Times New Roman" w:eastAsia="Times New Roman" w:hAnsi="Times New Roman" w:cs="Times New Roman"/>
          <w:color w:val="000000"/>
          <w:sz w:val="24"/>
          <w:szCs w:val="24"/>
          <w:lang w:eastAsia="pt-BR"/>
        </w:rPr>
        <w:footnoteReference w:id="8"/>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w:t>
      </w:r>
      <w:proofErr w:type="gramStart"/>
      <w:r w:rsidRPr="00F55E9E">
        <w:rPr>
          <w:rFonts w:ascii="Times New Roman" w:eastAsia="Times New Roman" w:hAnsi="Times New Roman" w:cs="Times New Roman"/>
          <w:color w:val="000000"/>
          <w:sz w:val="24"/>
          <w:szCs w:val="24"/>
          <w:lang w:eastAsia="pt-BR"/>
        </w:rPr>
        <w:t>3</w:t>
      </w:r>
      <w:proofErr w:type="gramEnd"/>
      <w:r w:rsidRPr="00F55E9E">
        <w:rPr>
          <w:rFonts w:ascii="Times New Roman" w:eastAsia="Times New Roman" w:hAnsi="Times New Roman" w:cs="Times New Roman"/>
          <w:color w:val="000000"/>
          <w:sz w:val="24"/>
          <w:szCs w:val="24"/>
          <w:lang w:eastAsia="pt-BR"/>
        </w:rPr>
        <w:t xml:space="preserve"> prescrevia que os tabeliães deviam lançar nas escrituras o mês, dia, ano, a localidade e a casa em que a escritura fosse lavrada, bem como o nome do tabelião, o que é em grande parte repetido pelo direito atual</w:t>
      </w:r>
      <w:r w:rsidR="0013331A">
        <w:rPr>
          <w:rStyle w:val="Refdenotaderodap"/>
          <w:rFonts w:ascii="Times New Roman" w:eastAsia="Times New Roman" w:hAnsi="Times New Roman" w:cs="Times New Roman"/>
          <w:color w:val="000000"/>
          <w:sz w:val="24"/>
          <w:szCs w:val="24"/>
          <w:lang w:eastAsia="pt-BR"/>
        </w:rPr>
        <w:footnoteReference w:id="9"/>
      </w:r>
      <w:r w:rsidRPr="00F55E9E">
        <w:rPr>
          <w:rFonts w:ascii="Times New Roman" w:eastAsia="Times New Roman" w:hAnsi="Times New Roman" w:cs="Times New Roman"/>
          <w:color w:val="000000"/>
          <w:sz w:val="24"/>
          <w:szCs w:val="24"/>
          <w:lang w:eastAsia="pt-BR"/>
        </w:rPr>
        <w:t>, que apenas não exige que se declare a casa em que o ato foi praticado e o nome do tabelião.</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w:t>
      </w:r>
      <w:proofErr w:type="gramStart"/>
      <w:r w:rsidRPr="00F55E9E">
        <w:rPr>
          <w:rFonts w:ascii="Times New Roman" w:eastAsia="Times New Roman" w:hAnsi="Times New Roman" w:cs="Times New Roman"/>
          <w:color w:val="000000"/>
          <w:sz w:val="24"/>
          <w:szCs w:val="24"/>
          <w:lang w:eastAsia="pt-BR"/>
        </w:rPr>
        <w:t>4</w:t>
      </w:r>
      <w:proofErr w:type="gramEnd"/>
      <w:r w:rsidRPr="00F55E9E">
        <w:rPr>
          <w:rFonts w:ascii="Times New Roman" w:eastAsia="Times New Roman" w:hAnsi="Times New Roman" w:cs="Times New Roman"/>
          <w:color w:val="000000"/>
          <w:sz w:val="24"/>
          <w:szCs w:val="24"/>
          <w:lang w:eastAsia="pt-BR"/>
        </w:rPr>
        <w:t xml:space="preserve"> fixava o prazo de 3 dias para a entrega do traslado  no caso de escrituras ordinárias e de 8 dias no caso de escrituras extensas, sob pena de perdas e danos e perda do direito aos emolumentos, havendo hoje no Estado de São Paulo um prazo único de 5 dias</w:t>
      </w:r>
      <w:r w:rsidR="0013331A">
        <w:rPr>
          <w:rStyle w:val="Refdenotaderodap"/>
          <w:rFonts w:ascii="Times New Roman" w:eastAsia="Times New Roman" w:hAnsi="Times New Roman" w:cs="Times New Roman"/>
          <w:color w:val="000000"/>
          <w:sz w:val="24"/>
          <w:szCs w:val="24"/>
          <w:lang w:eastAsia="pt-BR"/>
        </w:rPr>
        <w:footnoteReference w:id="10"/>
      </w:r>
      <w:r w:rsidRPr="00F55E9E">
        <w:rPr>
          <w:rFonts w:ascii="Times New Roman" w:eastAsia="Times New Roman" w:hAnsi="Times New Roman" w:cs="Times New Roman"/>
          <w:color w:val="000000"/>
          <w:sz w:val="24"/>
          <w:szCs w:val="24"/>
          <w:lang w:eastAsia="pt-BR"/>
        </w:rPr>
        <w:t>.</w:t>
      </w:r>
    </w:p>
    <w:p w:rsidR="0013331A" w:rsidRPr="00F55E9E" w:rsidRDefault="0013331A"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w:t>
      </w:r>
      <w:proofErr w:type="gramStart"/>
      <w:r w:rsidRPr="00F55E9E">
        <w:rPr>
          <w:rFonts w:ascii="Times New Roman" w:eastAsia="Times New Roman" w:hAnsi="Times New Roman" w:cs="Times New Roman"/>
          <w:color w:val="000000"/>
          <w:sz w:val="24"/>
          <w:szCs w:val="24"/>
          <w:lang w:eastAsia="pt-BR"/>
        </w:rPr>
        <w:t>5</w:t>
      </w:r>
      <w:proofErr w:type="gramEnd"/>
      <w:r w:rsidRPr="00F55E9E">
        <w:rPr>
          <w:rFonts w:ascii="Times New Roman" w:eastAsia="Times New Roman" w:hAnsi="Times New Roman" w:cs="Times New Roman"/>
          <w:color w:val="000000"/>
          <w:sz w:val="24"/>
          <w:szCs w:val="24"/>
          <w:lang w:eastAsia="pt-BR"/>
        </w:rPr>
        <w:t xml:space="preserve"> impunha aos tabeliães a obrigação de encadernar seus livros e guardá-los com diligência por toda a sua vida, ficando seus herdeiros obrigados a entregá-los ao sucessor do ofício, o qual ficava obrigado a guardá-los por 40 anos contados desde a data da escritura, sob pena de perda do ofício e indenização, </w:t>
      </w:r>
      <w:r w:rsidRPr="00F55E9E">
        <w:rPr>
          <w:rFonts w:ascii="Times New Roman" w:eastAsia="Times New Roman" w:hAnsi="Times New Roman" w:cs="Times New Roman"/>
          <w:color w:val="000000"/>
          <w:sz w:val="24"/>
          <w:szCs w:val="24"/>
          <w:lang w:eastAsia="pt-BR"/>
        </w:rPr>
        <w:lastRenderedPageBreak/>
        <w:t>não havendo hoje previsão de prazo para a guarda dos referidos livros</w:t>
      </w:r>
      <w:r w:rsidR="0013331A">
        <w:rPr>
          <w:rStyle w:val="Refdenotaderodap"/>
          <w:rFonts w:ascii="Times New Roman" w:eastAsia="Times New Roman" w:hAnsi="Times New Roman" w:cs="Times New Roman"/>
          <w:color w:val="000000"/>
          <w:sz w:val="24"/>
          <w:szCs w:val="24"/>
          <w:lang w:eastAsia="pt-BR"/>
        </w:rPr>
        <w:footnoteReference w:id="11"/>
      </w:r>
      <w:r w:rsidRPr="00F55E9E">
        <w:rPr>
          <w:rFonts w:ascii="Times New Roman" w:eastAsia="Times New Roman" w:hAnsi="Times New Roman" w:cs="Times New Roman"/>
          <w:color w:val="000000"/>
          <w:sz w:val="24"/>
          <w:szCs w:val="24"/>
          <w:lang w:eastAsia="pt-BR"/>
        </w:rPr>
        <w:t>, os quais devem ser guardados perpetuamente.</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w:t>
      </w:r>
      <w:proofErr w:type="gramStart"/>
      <w:r w:rsidRPr="00F55E9E">
        <w:rPr>
          <w:rFonts w:ascii="Times New Roman" w:eastAsia="Times New Roman" w:hAnsi="Times New Roman" w:cs="Times New Roman"/>
          <w:color w:val="000000"/>
          <w:sz w:val="24"/>
          <w:szCs w:val="24"/>
          <w:lang w:eastAsia="pt-BR"/>
        </w:rPr>
        <w:t>6</w:t>
      </w:r>
      <w:proofErr w:type="gramEnd"/>
      <w:r w:rsidRPr="00F55E9E">
        <w:rPr>
          <w:rFonts w:ascii="Times New Roman" w:eastAsia="Times New Roman" w:hAnsi="Times New Roman" w:cs="Times New Roman"/>
          <w:color w:val="000000"/>
          <w:sz w:val="24"/>
          <w:szCs w:val="24"/>
          <w:lang w:eastAsia="pt-BR"/>
        </w:rPr>
        <w:t xml:space="preserve"> previa que onde houvesse casa “deputada pera os </w:t>
      </w:r>
      <w:proofErr w:type="spellStart"/>
      <w:r w:rsidRPr="00F55E9E">
        <w:rPr>
          <w:rFonts w:ascii="Times New Roman" w:eastAsia="Times New Roman" w:hAnsi="Times New Roman" w:cs="Times New Roman"/>
          <w:color w:val="000000"/>
          <w:sz w:val="24"/>
          <w:szCs w:val="24"/>
          <w:lang w:eastAsia="pt-BR"/>
        </w:rPr>
        <w:t>tabaliães</w:t>
      </w:r>
      <w:proofErr w:type="spellEnd"/>
      <w:r w:rsidRPr="00F55E9E">
        <w:rPr>
          <w:rFonts w:ascii="Times New Roman" w:eastAsia="Times New Roman" w:hAnsi="Times New Roman" w:cs="Times New Roman"/>
          <w:color w:val="000000"/>
          <w:sz w:val="24"/>
          <w:szCs w:val="24"/>
          <w:lang w:eastAsia="pt-BR"/>
        </w:rPr>
        <w:t xml:space="preserve"> de notas”, os referidos oficiais deviam ficar nelas pela manhã e pela tarde para que os usuários do serviço pudessem encontrá-los, o que também encontra paralelo no direito positivo atual, pois a lei dos notários e registradores expressamente prevê que os serviços notariais devem ficar abertos ao públicos nos horários estabelecidos pelo juízo competente</w:t>
      </w:r>
      <w:r w:rsidR="0013331A">
        <w:rPr>
          <w:rStyle w:val="Refdenotaderodap"/>
          <w:rFonts w:ascii="Times New Roman" w:eastAsia="Times New Roman" w:hAnsi="Times New Roman" w:cs="Times New Roman"/>
          <w:color w:val="000000"/>
          <w:sz w:val="24"/>
          <w:szCs w:val="24"/>
          <w:lang w:eastAsia="pt-BR"/>
        </w:rPr>
        <w:footnoteReference w:id="12"/>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Já o item </w:t>
      </w:r>
      <w:proofErr w:type="gramStart"/>
      <w:r w:rsidRPr="00F55E9E">
        <w:rPr>
          <w:rFonts w:ascii="Times New Roman" w:eastAsia="Times New Roman" w:hAnsi="Times New Roman" w:cs="Times New Roman"/>
          <w:color w:val="000000"/>
          <w:sz w:val="24"/>
          <w:szCs w:val="24"/>
          <w:lang w:eastAsia="pt-BR"/>
        </w:rPr>
        <w:t>7</w:t>
      </w:r>
      <w:proofErr w:type="gramEnd"/>
      <w:r w:rsidRPr="00F55E9E">
        <w:rPr>
          <w:rFonts w:ascii="Times New Roman" w:eastAsia="Times New Roman" w:hAnsi="Times New Roman" w:cs="Times New Roman"/>
          <w:color w:val="000000"/>
          <w:sz w:val="24"/>
          <w:szCs w:val="24"/>
          <w:lang w:eastAsia="pt-BR"/>
        </w:rPr>
        <w:t xml:space="preserve"> estabelecia a obrigação de o tabelião fornecer um traslado a cada parte que assim o requeresse, havendo hoje a obrigação de fornecer certidões a quem quer que o requeira</w:t>
      </w:r>
      <w:r w:rsidR="0013331A">
        <w:rPr>
          <w:rStyle w:val="Refdenotaderodap"/>
          <w:rFonts w:ascii="Times New Roman" w:eastAsia="Times New Roman" w:hAnsi="Times New Roman" w:cs="Times New Roman"/>
          <w:color w:val="000000"/>
          <w:sz w:val="24"/>
          <w:szCs w:val="24"/>
          <w:lang w:eastAsia="pt-BR"/>
        </w:rPr>
        <w:footnoteReference w:id="13"/>
      </w:r>
      <w:r w:rsidRPr="00F55E9E">
        <w:rPr>
          <w:rFonts w:ascii="Times New Roman" w:eastAsia="Times New Roman" w:hAnsi="Times New Roman" w:cs="Times New Roman"/>
          <w:color w:val="000000"/>
          <w:sz w:val="24"/>
          <w:szCs w:val="24"/>
          <w:lang w:eastAsia="pt-BR"/>
        </w:rPr>
        <w:t>, bem como o item seguinte determinava que os tabeliães deviam deslocar-se até as pessoas honradas ou enfermas para fazer as escrituras de testamento ou de contratos, havendo hoje igualmente previsão para que um tabelião desloque-se até a pessoa incapaz de dirigir-se ao tabelionato</w:t>
      </w:r>
      <w:r w:rsidR="0013331A">
        <w:rPr>
          <w:rStyle w:val="Refdenotaderodap"/>
          <w:rFonts w:ascii="Times New Roman" w:eastAsia="Times New Roman" w:hAnsi="Times New Roman" w:cs="Times New Roman"/>
          <w:color w:val="000000"/>
          <w:sz w:val="24"/>
          <w:szCs w:val="24"/>
          <w:lang w:eastAsia="pt-BR"/>
        </w:rPr>
        <w:footnoteReference w:id="14"/>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w:t>
      </w:r>
      <w:proofErr w:type="gramStart"/>
      <w:r w:rsidRPr="00F55E9E">
        <w:rPr>
          <w:rFonts w:ascii="Times New Roman" w:eastAsia="Times New Roman" w:hAnsi="Times New Roman" w:cs="Times New Roman"/>
          <w:color w:val="000000"/>
          <w:sz w:val="24"/>
          <w:szCs w:val="24"/>
          <w:lang w:eastAsia="pt-BR"/>
        </w:rPr>
        <w:t>9</w:t>
      </w:r>
      <w:proofErr w:type="gramEnd"/>
      <w:r w:rsidRPr="00F55E9E">
        <w:rPr>
          <w:rFonts w:ascii="Times New Roman" w:eastAsia="Times New Roman" w:hAnsi="Times New Roman" w:cs="Times New Roman"/>
          <w:color w:val="000000"/>
          <w:sz w:val="24"/>
          <w:szCs w:val="24"/>
          <w:lang w:eastAsia="pt-BR"/>
        </w:rPr>
        <w:t xml:space="preserve"> continha uma disposição interessante, que não é de fácil compreensão: os tabeliães estavam proibidos de dar um segundo traslado à parte, salvo com autorização do próprio rei, sob pena de perda do ofício, havendo hoje, como já se viu acima, a obrigação de o tabelião fornecer uma certidão a quem quer que simplesmente o requeira, o que destoa muito do regramento do século XVI.</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10 estabelecia que os tabeliães </w:t>
      </w:r>
      <w:proofErr w:type="gramStart"/>
      <w:r w:rsidRPr="00F55E9E">
        <w:rPr>
          <w:rFonts w:ascii="Times New Roman" w:eastAsia="Times New Roman" w:hAnsi="Times New Roman" w:cs="Times New Roman"/>
          <w:color w:val="000000"/>
          <w:sz w:val="24"/>
          <w:szCs w:val="24"/>
          <w:lang w:eastAsia="pt-BR"/>
        </w:rPr>
        <w:t>deviam</w:t>
      </w:r>
      <w:proofErr w:type="gramEnd"/>
      <w:r w:rsidRPr="00F55E9E">
        <w:rPr>
          <w:rFonts w:ascii="Times New Roman" w:eastAsia="Times New Roman" w:hAnsi="Times New Roman" w:cs="Times New Roman"/>
          <w:color w:val="000000"/>
          <w:sz w:val="24"/>
          <w:szCs w:val="24"/>
          <w:lang w:eastAsia="pt-BR"/>
        </w:rPr>
        <w:t xml:space="preserve"> fazer todos os testamentos e inventários, salvo os inventários dos menores, </w:t>
      </w:r>
      <w:proofErr w:type="spellStart"/>
      <w:r w:rsidRPr="00F55E9E">
        <w:rPr>
          <w:rFonts w:ascii="Times New Roman" w:eastAsia="Times New Roman" w:hAnsi="Times New Roman" w:cs="Times New Roman"/>
          <w:color w:val="000000"/>
          <w:sz w:val="24"/>
          <w:szCs w:val="24"/>
          <w:lang w:eastAsia="pt-BR"/>
        </w:rPr>
        <w:t>orfãos</w:t>
      </w:r>
      <w:proofErr w:type="spellEnd"/>
      <w:r w:rsidRPr="00F55E9E">
        <w:rPr>
          <w:rFonts w:ascii="Times New Roman" w:eastAsia="Times New Roman" w:hAnsi="Times New Roman" w:cs="Times New Roman"/>
          <w:color w:val="000000"/>
          <w:sz w:val="24"/>
          <w:szCs w:val="24"/>
          <w:lang w:eastAsia="pt-BR"/>
        </w:rPr>
        <w:t xml:space="preserve">, pródigos ou </w:t>
      </w:r>
      <w:r w:rsidRPr="00F55E9E">
        <w:rPr>
          <w:rFonts w:ascii="Times New Roman" w:eastAsia="Times New Roman" w:hAnsi="Times New Roman" w:cs="Times New Roman"/>
          <w:color w:val="000000"/>
          <w:sz w:val="24"/>
          <w:szCs w:val="24"/>
          <w:lang w:eastAsia="pt-BR"/>
        </w:rPr>
        <w:lastRenderedPageBreak/>
        <w:t>“</w:t>
      </w:r>
      <w:proofErr w:type="spellStart"/>
      <w:r w:rsidRPr="00F55E9E">
        <w:rPr>
          <w:rFonts w:ascii="Times New Roman" w:eastAsia="Times New Roman" w:hAnsi="Times New Roman" w:cs="Times New Roman"/>
          <w:color w:val="000000"/>
          <w:sz w:val="24"/>
          <w:szCs w:val="24"/>
          <w:lang w:eastAsia="pt-BR"/>
        </w:rPr>
        <w:t>desasisados</w:t>
      </w:r>
      <w:proofErr w:type="spellEnd"/>
      <w:r w:rsidRPr="00F55E9E">
        <w:rPr>
          <w:rFonts w:ascii="Times New Roman" w:eastAsia="Times New Roman" w:hAnsi="Times New Roman" w:cs="Times New Roman"/>
          <w:color w:val="000000"/>
          <w:sz w:val="24"/>
          <w:szCs w:val="24"/>
          <w:lang w:eastAsia="pt-BR"/>
        </w:rPr>
        <w:t>” - que deviam ser feitos pelos escrivães de órfãos ou, na inexistência destes últimos, pelos tabeliães do judicial -, sendo que os inventários dos ausentes e dos que morriam sem herdeiros deviam ser feitos pelo escrivão das audiências</w:t>
      </w:r>
      <w:r w:rsidR="0013331A">
        <w:rPr>
          <w:rStyle w:val="Refdenotaderodap"/>
          <w:rFonts w:ascii="Times New Roman" w:eastAsia="Times New Roman" w:hAnsi="Times New Roman" w:cs="Times New Roman"/>
          <w:color w:val="000000"/>
          <w:sz w:val="24"/>
          <w:szCs w:val="24"/>
          <w:lang w:eastAsia="pt-BR"/>
        </w:rPr>
        <w:footnoteReference w:id="15"/>
      </w:r>
      <w:r w:rsidRPr="00F55E9E">
        <w:rPr>
          <w:rFonts w:ascii="Times New Roman" w:eastAsia="Times New Roman" w:hAnsi="Times New Roman" w:cs="Times New Roman"/>
          <w:color w:val="000000"/>
          <w:sz w:val="24"/>
          <w:szCs w:val="24"/>
          <w:lang w:eastAsia="pt-BR"/>
        </w:rPr>
        <w:t>, sabido que a Lei 11441/07 reinstituiu no Brasil o instituto do inventário por escritura pública, não havendo mais obrigatoriedade de que os inventários sejam feitos judicialmente.</w:t>
      </w:r>
    </w:p>
    <w:p w:rsidR="0013331A" w:rsidRPr="00F55E9E" w:rsidRDefault="0013331A"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Em razão da dificuldade de interpretação, transcreve-se abaixo o item 11 do referido título</w:t>
      </w:r>
      <w:r w:rsidR="0013331A">
        <w:rPr>
          <w:rStyle w:val="Refdenotaderodap"/>
          <w:rFonts w:ascii="Times New Roman" w:eastAsia="Times New Roman" w:hAnsi="Times New Roman" w:cs="Times New Roman"/>
          <w:color w:val="000000"/>
          <w:sz w:val="24"/>
          <w:szCs w:val="24"/>
          <w:lang w:eastAsia="pt-BR"/>
        </w:rPr>
        <w:footnoteReference w:id="16"/>
      </w:r>
      <w:r w:rsidRPr="00F55E9E">
        <w:rPr>
          <w:rFonts w:ascii="Times New Roman" w:eastAsia="Times New Roman" w:hAnsi="Times New Roman" w:cs="Times New Roman"/>
          <w:color w:val="000000"/>
          <w:sz w:val="24"/>
          <w:szCs w:val="24"/>
          <w:lang w:eastAsia="pt-BR"/>
        </w:rPr>
        <w:t>: seria essa uma ata notarial na qual o tabelião descrevia o momento em que o comprador de um imóvel entrava na sua posse? Fica-se com essa impressão ao constatar a menção que é feita logo em seguida às posses tomadas por força de sentença ou mandado judicial, em que o tabelião judicial devia fazer o respectivo auto de imissão na posse.</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13 estabelecia que as escrituras dos contratos com prazo superior a </w:t>
      </w:r>
      <w:proofErr w:type="gramStart"/>
      <w:r w:rsidRPr="00F55E9E">
        <w:rPr>
          <w:rFonts w:ascii="Times New Roman" w:eastAsia="Times New Roman" w:hAnsi="Times New Roman" w:cs="Times New Roman"/>
          <w:color w:val="000000"/>
          <w:sz w:val="24"/>
          <w:szCs w:val="24"/>
          <w:lang w:eastAsia="pt-BR"/>
        </w:rPr>
        <w:t>3</w:t>
      </w:r>
      <w:proofErr w:type="gramEnd"/>
      <w:r w:rsidRPr="00F55E9E">
        <w:rPr>
          <w:rFonts w:ascii="Times New Roman" w:eastAsia="Times New Roman" w:hAnsi="Times New Roman" w:cs="Times New Roman"/>
          <w:color w:val="000000"/>
          <w:sz w:val="24"/>
          <w:szCs w:val="24"/>
          <w:lang w:eastAsia="pt-BR"/>
        </w:rPr>
        <w:t xml:space="preserve"> anos ou de valor superior a 30.000 reais que envolviam bens de órfãos deviam ser feitos pelos tabeliães de notas, ao passo que, se de prazo ou valor inferior, os respectivos instrumentos competiam aos escrivães de órfãos, havendo hoje apenas um tipo de tabelião, o qual tem competência para realizar toda e qualquer escritura.</w:t>
      </w: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14 atribuía aos tabeliães de notas as escrituras em que </w:t>
      </w:r>
      <w:proofErr w:type="gramStart"/>
      <w:r w:rsidRPr="00F55E9E">
        <w:rPr>
          <w:rFonts w:ascii="Times New Roman" w:eastAsia="Times New Roman" w:hAnsi="Times New Roman" w:cs="Times New Roman"/>
          <w:color w:val="000000"/>
          <w:sz w:val="24"/>
          <w:szCs w:val="24"/>
          <w:lang w:eastAsia="pt-BR"/>
        </w:rPr>
        <w:t>presos fossem parte, ao passo que o item 15 parecia atribuir a qualquer tabelião os hoje chamados títulos, mandados ou certidões judiciais</w:t>
      </w:r>
      <w:r w:rsidR="0013331A">
        <w:rPr>
          <w:rStyle w:val="Refdenotaderodap"/>
          <w:rFonts w:ascii="Times New Roman" w:eastAsia="Times New Roman" w:hAnsi="Times New Roman" w:cs="Times New Roman"/>
          <w:color w:val="000000"/>
          <w:sz w:val="24"/>
          <w:szCs w:val="24"/>
          <w:lang w:eastAsia="pt-BR"/>
        </w:rPr>
        <w:footnoteReference w:id="17"/>
      </w:r>
      <w:r w:rsidRPr="00F55E9E">
        <w:rPr>
          <w:rFonts w:ascii="Times New Roman" w:eastAsia="Times New Roman" w:hAnsi="Times New Roman" w:cs="Times New Roman"/>
          <w:color w:val="000000"/>
          <w:sz w:val="24"/>
          <w:szCs w:val="24"/>
          <w:lang w:eastAsia="pt-BR"/>
        </w:rPr>
        <w:t>, sendo certo que hoje os chamadas títulos judiciais são de competência dos escrivães judiciais</w:t>
      </w:r>
      <w:proofErr w:type="gramEnd"/>
      <w:r w:rsidRPr="00F55E9E">
        <w:rPr>
          <w:rFonts w:ascii="Times New Roman" w:eastAsia="Times New Roman" w:hAnsi="Times New Roman" w:cs="Times New Roman"/>
          <w:color w:val="000000"/>
          <w:sz w:val="24"/>
          <w:szCs w:val="24"/>
          <w:lang w:eastAsia="pt-BR"/>
        </w:rPr>
        <w:t>, não tendo os tabeliães qualquer atuação nesse campo.</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lastRenderedPageBreak/>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Nos itens 16 a 20 estabelecia-se o regimento de custas dos tabeliães de então</w:t>
      </w:r>
      <w:r w:rsidR="005D4C2F">
        <w:rPr>
          <w:rStyle w:val="Refdenotaderodap"/>
          <w:rFonts w:ascii="Times New Roman" w:eastAsia="Times New Roman" w:hAnsi="Times New Roman" w:cs="Times New Roman"/>
          <w:color w:val="000000"/>
          <w:sz w:val="24"/>
          <w:szCs w:val="24"/>
          <w:lang w:eastAsia="pt-BR"/>
        </w:rPr>
        <w:footnoteReference w:id="18"/>
      </w:r>
      <w:r w:rsidRPr="00F55E9E">
        <w:rPr>
          <w:rFonts w:ascii="Times New Roman" w:eastAsia="Times New Roman" w:hAnsi="Times New Roman" w:cs="Times New Roman"/>
          <w:color w:val="000000"/>
          <w:sz w:val="24"/>
          <w:szCs w:val="24"/>
          <w:lang w:eastAsia="pt-BR"/>
        </w:rPr>
        <w:t xml:space="preserve">: se o traslado enchesse toda uma pele de pergaminho, o tabelião levava 72 reais pelo traslado e mais 108 reais pela escritura em seus livros; e o texto continuava graduando a remuneração do tabelião pelo tamanho do texto da escritura: se a escritura fosse lavrada fora do paço, o tabelião recebia mais sete reais pela diligência; se a escritura fosse feita em papel e enchesse meia folha de papel a remuneração era menor; e o pagamento devia ser feito contra a entrega do traslado; em caso de inventário, o tabelião recebia </w:t>
      </w:r>
      <w:proofErr w:type="gramStart"/>
      <w:r w:rsidRPr="00F55E9E">
        <w:rPr>
          <w:rFonts w:ascii="Times New Roman" w:eastAsia="Times New Roman" w:hAnsi="Times New Roman" w:cs="Times New Roman"/>
          <w:color w:val="000000"/>
          <w:sz w:val="24"/>
          <w:szCs w:val="24"/>
          <w:lang w:eastAsia="pt-BR"/>
        </w:rPr>
        <w:t>1</w:t>
      </w:r>
      <w:proofErr w:type="gramEnd"/>
      <w:r w:rsidRPr="00F55E9E">
        <w:rPr>
          <w:rFonts w:ascii="Times New Roman" w:eastAsia="Times New Roman" w:hAnsi="Times New Roman" w:cs="Times New Roman"/>
          <w:color w:val="000000"/>
          <w:sz w:val="24"/>
          <w:szCs w:val="24"/>
          <w:lang w:eastAsia="pt-BR"/>
        </w:rPr>
        <w:t xml:space="preserve"> real para cada 5 regras (linhas) de texto; pela busca de alguma escritura em seus livros o tabelião recebia uma quantia que era metade do que se fixava para a busca de um processo judicial pelo respectivo tabelião.</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21 proibia,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perda do ofício, ao tabelião o exercício da magistratura e da advocacia, salvo em causa própria ou na defesa daqueles que morassem com eles, sendo certo que hoje não há exceções para essa proibição</w:t>
      </w:r>
      <w:r w:rsidR="005D4C2F">
        <w:rPr>
          <w:rStyle w:val="Refdenotaderodap"/>
          <w:rFonts w:ascii="Times New Roman" w:eastAsia="Times New Roman" w:hAnsi="Times New Roman" w:cs="Times New Roman"/>
          <w:color w:val="000000"/>
          <w:sz w:val="24"/>
          <w:szCs w:val="24"/>
          <w:lang w:eastAsia="pt-BR"/>
        </w:rPr>
        <w:footnoteReference w:id="19"/>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Já o item 22 obrigava o tabelião a morar na localidade em que prestasse seus serviços,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perda do ofício, não havendo hoje regra estabelecendo essa obrigação.</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Os itens 22 a 26 parecem tratar da hipótese em que uma parte pedia um título judicial ao tabelião (instrumento ou carta) e este se recusava a concedê-los, sendo</w:t>
      </w:r>
      <w:proofErr w:type="gramStart"/>
      <w:r w:rsidRPr="00F55E9E">
        <w:rPr>
          <w:rFonts w:ascii="Times New Roman" w:eastAsia="Times New Roman" w:hAnsi="Times New Roman" w:cs="Times New Roman"/>
          <w:color w:val="000000"/>
          <w:sz w:val="24"/>
          <w:szCs w:val="24"/>
          <w:lang w:eastAsia="pt-BR"/>
        </w:rPr>
        <w:t xml:space="preserve"> contudo</w:t>
      </w:r>
      <w:proofErr w:type="gramEnd"/>
      <w:r w:rsidRPr="00F55E9E">
        <w:rPr>
          <w:rFonts w:ascii="Times New Roman" w:eastAsia="Times New Roman" w:hAnsi="Times New Roman" w:cs="Times New Roman"/>
          <w:color w:val="000000"/>
          <w:sz w:val="24"/>
          <w:szCs w:val="24"/>
          <w:lang w:eastAsia="pt-BR"/>
        </w:rPr>
        <w:t xml:space="preserve"> um item de difícil compreensão hoje em dia.</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O item 27 trata de outra hipótese difícil de compreender hoje em dia: quando um instrumento fosse feito com base em “cédulas” fornecidas pelas partes, as quais deviam ser trasladadas, lidas e “concertadas”, o que não se consegue compreender adequadamente.</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lastRenderedPageBreak/>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O item 28 proibia que os tabeliães colocassem em suas escrituras que as partes juravam cumprir o que estava avençado, sob as penas do livro IV, parecendo haver aqui uma ressonância da proibição bíblica aos juramentos.</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Para que se pudesse fiscalizar se os tabeliães cobravam apenas o tabelado, o item 29 estabelecia que o tabelião </w:t>
      </w:r>
      <w:proofErr w:type="gramStart"/>
      <w:r w:rsidRPr="00F55E9E">
        <w:rPr>
          <w:rFonts w:ascii="Times New Roman" w:eastAsia="Times New Roman" w:hAnsi="Times New Roman" w:cs="Times New Roman"/>
          <w:color w:val="000000"/>
          <w:sz w:val="24"/>
          <w:szCs w:val="24"/>
          <w:lang w:eastAsia="pt-BR"/>
        </w:rPr>
        <w:t>devia</w:t>
      </w:r>
      <w:proofErr w:type="gramEnd"/>
      <w:r w:rsidRPr="00F55E9E">
        <w:rPr>
          <w:rFonts w:ascii="Times New Roman" w:eastAsia="Times New Roman" w:hAnsi="Times New Roman" w:cs="Times New Roman"/>
          <w:color w:val="000000"/>
          <w:sz w:val="24"/>
          <w:szCs w:val="24"/>
          <w:lang w:eastAsia="pt-BR"/>
        </w:rPr>
        <w:t xml:space="preserve"> lançar na escritura as quantias que havia recebido de remuneração</w:t>
      </w:r>
      <w:r w:rsidR="005D4C2F">
        <w:rPr>
          <w:rStyle w:val="Refdenotaderodap"/>
          <w:rFonts w:ascii="Times New Roman" w:eastAsia="Times New Roman" w:hAnsi="Times New Roman" w:cs="Times New Roman"/>
          <w:color w:val="000000"/>
          <w:sz w:val="24"/>
          <w:szCs w:val="24"/>
          <w:lang w:eastAsia="pt-BR"/>
        </w:rPr>
        <w:footnoteReference w:id="20"/>
      </w:r>
      <w:r w:rsidRPr="00F55E9E">
        <w:rPr>
          <w:rFonts w:ascii="Times New Roman" w:eastAsia="Times New Roman" w:hAnsi="Times New Roman" w:cs="Times New Roman"/>
          <w:color w:val="000000"/>
          <w:sz w:val="24"/>
          <w:szCs w:val="24"/>
          <w:lang w:eastAsia="pt-BR"/>
        </w:rPr>
        <w:t xml:space="preserve"> ou, quando não tivessem direito à remuneração</w:t>
      </w:r>
      <w:r w:rsidR="005D4C2F">
        <w:rPr>
          <w:rStyle w:val="Refdenotaderodap"/>
          <w:rFonts w:ascii="Times New Roman" w:eastAsia="Times New Roman" w:hAnsi="Times New Roman" w:cs="Times New Roman"/>
          <w:color w:val="000000"/>
          <w:sz w:val="24"/>
          <w:szCs w:val="24"/>
          <w:lang w:eastAsia="pt-BR"/>
        </w:rPr>
        <w:footnoteReference w:id="21"/>
      </w:r>
      <w:r w:rsidRPr="00F55E9E">
        <w:rPr>
          <w:rFonts w:ascii="Times New Roman" w:eastAsia="Times New Roman" w:hAnsi="Times New Roman" w:cs="Times New Roman"/>
          <w:color w:val="000000"/>
          <w:sz w:val="24"/>
          <w:szCs w:val="24"/>
          <w:lang w:eastAsia="pt-BR"/>
        </w:rPr>
        <w:t xml:space="preserve"> ou não quisessem cobrar</w:t>
      </w:r>
      <w:r w:rsidR="005D4C2F">
        <w:rPr>
          <w:rStyle w:val="Refdenotaderodap"/>
          <w:rFonts w:ascii="Times New Roman" w:eastAsia="Times New Roman" w:hAnsi="Times New Roman" w:cs="Times New Roman"/>
          <w:color w:val="000000"/>
          <w:sz w:val="24"/>
          <w:szCs w:val="24"/>
          <w:lang w:eastAsia="pt-BR"/>
        </w:rPr>
        <w:footnoteReference w:id="22"/>
      </w:r>
      <w:r w:rsidRPr="00F55E9E">
        <w:rPr>
          <w:rFonts w:ascii="Times New Roman" w:eastAsia="Times New Roman" w:hAnsi="Times New Roman" w:cs="Times New Roman"/>
          <w:color w:val="000000"/>
          <w:sz w:val="24"/>
          <w:szCs w:val="24"/>
          <w:lang w:eastAsia="pt-BR"/>
        </w:rPr>
        <w:t>, deviam lançar “</w:t>
      </w:r>
      <w:proofErr w:type="spellStart"/>
      <w:r w:rsidRPr="00F55E9E">
        <w:rPr>
          <w:rFonts w:ascii="Times New Roman" w:eastAsia="Times New Roman" w:hAnsi="Times New Roman" w:cs="Times New Roman"/>
          <w:color w:val="000000"/>
          <w:sz w:val="24"/>
          <w:szCs w:val="24"/>
          <w:lang w:eastAsia="pt-BR"/>
        </w:rPr>
        <w:t>nihil</w:t>
      </w:r>
      <w:proofErr w:type="spellEnd"/>
      <w:r w:rsidRPr="00F55E9E">
        <w:rPr>
          <w:rFonts w:ascii="Times New Roman" w:eastAsia="Times New Roman" w:hAnsi="Times New Roman" w:cs="Times New Roman"/>
          <w:color w:val="000000"/>
          <w:sz w:val="24"/>
          <w:szCs w:val="24"/>
          <w:lang w:eastAsia="pt-BR"/>
        </w:rPr>
        <w:t xml:space="preserve">”, sob pena de perda da remuneração da escritura, acrescida na reincidência da suspensão do ofício por seis </w:t>
      </w:r>
      <w:r w:rsidRPr="00F55E9E">
        <w:rPr>
          <w:rFonts w:ascii="Times New Roman" w:eastAsia="Times New Roman" w:hAnsi="Times New Roman" w:cs="Times New Roman"/>
          <w:color w:val="000000"/>
          <w:sz w:val="24"/>
          <w:szCs w:val="24"/>
          <w:lang w:eastAsia="pt-BR"/>
        </w:rPr>
        <w:lastRenderedPageBreak/>
        <w:t>meses e na terceira ocorrência de perda do ofício</w:t>
      </w:r>
      <w:r w:rsidR="005D4C2F">
        <w:rPr>
          <w:rStyle w:val="Refdenotaderodap"/>
          <w:rFonts w:ascii="Times New Roman" w:eastAsia="Times New Roman" w:hAnsi="Times New Roman" w:cs="Times New Roman"/>
          <w:color w:val="000000"/>
          <w:sz w:val="24"/>
          <w:szCs w:val="24"/>
          <w:lang w:eastAsia="pt-BR"/>
        </w:rPr>
        <w:footnoteReference w:id="23"/>
      </w:r>
      <w:r w:rsidRPr="00F55E9E">
        <w:rPr>
          <w:rFonts w:ascii="Times New Roman" w:eastAsia="Times New Roman" w:hAnsi="Times New Roman" w:cs="Times New Roman"/>
          <w:color w:val="000000"/>
          <w:sz w:val="24"/>
          <w:szCs w:val="24"/>
          <w:lang w:eastAsia="pt-BR"/>
        </w:rPr>
        <w:t>; se o tabelião cobrasse mais do que o devido, então ficava sujeito às penas do Livro V</w:t>
      </w:r>
      <w:r w:rsidR="005D4C2F">
        <w:rPr>
          <w:rStyle w:val="Refdenotaderodap"/>
          <w:rFonts w:ascii="Times New Roman" w:eastAsia="Times New Roman" w:hAnsi="Times New Roman" w:cs="Times New Roman"/>
          <w:color w:val="000000"/>
          <w:sz w:val="24"/>
          <w:szCs w:val="24"/>
          <w:lang w:eastAsia="pt-BR"/>
        </w:rPr>
        <w:footnoteReference w:id="24"/>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O item 30 previa que, nas localidades onde houvesse dois ou mais tabeliães, as escrituras deviam ser distribuídas pelo distribuidor judicial</w:t>
      </w:r>
      <w:r w:rsidR="005D4C2F">
        <w:rPr>
          <w:rStyle w:val="Refdenotaderodap"/>
          <w:rFonts w:ascii="Times New Roman" w:eastAsia="Times New Roman" w:hAnsi="Times New Roman" w:cs="Times New Roman"/>
          <w:color w:val="000000"/>
          <w:sz w:val="24"/>
          <w:szCs w:val="24"/>
          <w:lang w:eastAsia="pt-BR"/>
        </w:rPr>
        <w:footnoteReference w:id="25"/>
      </w:r>
      <w:r w:rsidRPr="00F55E9E">
        <w:rPr>
          <w:rFonts w:ascii="Times New Roman" w:eastAsia="Times New Roman" w:hAnsi="Times New Roman" w:cs="Times New Roman"/>
          <w:color w:val="000000"/>
          <w:sz w:val="24"/>
          <w:szCs w:val="24"/>
          <w:lang w:eastAsia="pt-BR"/>
        </w:rPr>
        <w:t xml:space="preserve">, sendo </w:t>
      </w:r>
      <w:proofErr w:type="spellStart"/>
      <w:r w:rsidRPr="00F55E9E">
        <w:rPr>
          <w:rFonts w:ascii="Times New Roman" w:eastAsia="Times New Roman" w:hAnsi="Times New Roman" w:cs="Times New Roman"/>
          <w:color w:val="000000"/>
          <w:sz w:val="24"/>
          <w:szCs w:val="24"/>
          <w:lang w:eastAsia="pt-BR"/>
        </w:rPr>
        <w:t>probido</w:t>
      </w:r>
      <w:proofErr w:type="spellEnd"/>
      <w:r w:rsidRPr="00F55E9E">
        <w:rPr>
          <w:rFonts w:ascii="Times New Roman" w:eastAsia="Times New Roman" w:hAnsi="Times New Roman" w:cs="Times New Roman"/>
          <w:color w:val="000000"/>
          <w:sz w:val="24"/>
          <w:szCs w:val="24"/>
          <w:lang w:eastAsia="pt-BR"/>
        </w:rPr>
        <w:t xml:space="preserve"> a um tabelião lavrar uma escritura que não lhe tivesse sido distribuída,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suspensão por seis meses e na reincidência de privação do ofício e multa, atribuindo o mesmo item ao distribuidor os emolumentos de três reais, bem como o incumbindo de ter um livro de distribuição, que devia ser guardado em bom estado por 30 anos.</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Já o item 31 previa a hipótese de a escritura pública ser lavrada fora do paço pelo fato de nenhuma das partes poder se deslocar até aí: nesse caso o distribuidor apenas anotava o nome da pessoa que solicitava a presença do tabelião, ficando este obrigado </w:t>
      </w:r>
      <w:proofErr w:type="gramStart"/>
      <w:r w:rsidRPr="00F55E9E">
        <w:rPr>
          <w:rFonts w:ascii="Times New Roman" w:eastAsia="Times New Roman" w:hAnsi="Times New Roman" w:cs="Times New Roman"/>
          <w:color w:val="000000"/>
          <w:sz w:val="24"/>
          <w:szCs w:val="24"/>
          <w:lang w:eastAsia="pt-BR"/>
        </w:rPr>
        <w:t>a</w:t>
      </w:r>
      <w:proofErr w:type="gramEnd"/>
      <w:r w:rsidRPr="00F55E9E">
        <w:rPr>
          <w:rFonts w:ascii="Times New Roman" w:eastAsia="Times New Roman" w:hAnsi="Times New Roman" w:cs="Times New Roman"/>
          <w:color w:val="000000"/>
          <w:sz w:val="24"/>
          <w:szCs w:val="24"/>
          <w:lang w:eastAsia="pt-BR"/>
        </w:rPr>
        <w:t xml:space="preserve"> no máximo até o dia seguinte informar os dados da escritura ao distribuidor, para que este fizesse as suas anotações, sob pena de perda de ofício, em caso de falta de declaração, ou de não mais receber nenhuma distribuição, em caso de demora na informação, não havendo hoje em dia regra de teor semelhante.</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lastRenderedPageBreak/>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O item 32 previa que, em caso de desistência das partes de uma escritura já distribuída, haveria compensação na distribuição após a comunicação do tabelião, que, se fosse mentirosa, acarretaria a punição do tabelião como falsário, também não havendo hoje regra semelhante no Estado de São Paulo, em razão de não haver distribuição de escritura, mas que é muito razoável e certamente seria reinstituída se fosse instituído o referido distribuidor.</w:t>
      </w:r>
    </w:p>
    <w:p w:rsidR="005D4C2F" w:rsidRDefault="005D4C2F"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33 traz uma regra interessante e de difícil compreensão: o tabelião nunca podia trazer uma coroa aberta, grande ou pequena,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perda do ofício.</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34 vedava ao tabelião que se fizesse substituir em seus ofícios, parecendo até proibir que os tabeliães tivessem empregados, sem autorização expressa do rei, sob pena de perda do ofício, o que também era cominado para o caso de descumprimento de algum preceito desse regimento, salvo na hipótese de haver </w:t>
      </w:r>
      <w:proofErr w:type="gramStart"/>
      <w:r w:rsidRPr="00F55E9E">
        <w:rPr>
          <w:rFonts w:ascii="Times New Roman" w:eastAsia="Times New Roman" w:hAnsi="Times New Roman" w:cs="Times New Roman"/>
          <w:color w:val="000000"/>
          <w:sz w:val="24"/>
          <w:szCs w:val="24"/>
          <w:lang w:eastAsia="pt-BR"/>
        </w:rPr>
        <w:t>uma outra</w:t>
      </w:r>
      <w:proofErr w:type="gramEnd"/>
      <w:r w:rsidRPr="00F55E9E">
        <w:rPr>
          <w:rFonts w:ascii="Times New Roman" w:eastAsia="Times New Roman" w:hAnsi="Times New Roman" w:cs="Times New Roman"/>
          <w:color w:val="000000"/>
          <w:sz w:val="24"/>
          <w:szCs w:val="24"/>
          <w:lang w:eastAsia="pt-BR"/>
        </w:rPr>
        <w:t xml:space="preserve"> pena prevista</w:t>
      </w:r>
      <w:r w:rsidR="005D4C2F">
        <w:rPr>
          <w:rStyle w:val="Refdenotaderodap"/>
          <w:rFonts w:ascii="Times New Roman" w:eastAsia="Times New Roman" w:hAnsi="Times New Roman" w:cs="Times New Roman"/>
          <w:color w:val="000000"/>
          <w:sz w:val="24"/>
          <w:szCs w:val="24"/>
          <w:lang w:eastAsia="pt-BR"/>
        </w:rPr>
        <w:footnoteReference w:id="26"/>
      </w:r>
      <w:r w:rsidRPr="00F55E9E">
        <w:rPr>
          <w:rFonts w:ascii="Times New Roman" w:eastAsia="Times New Roman" w:hAnsi="Times New Roman" w:cs="Times New Roman"/>
          <w:color w:val="000000"/>
          <w:sz w:val="24"/>
          <w:szCs w:val="24"/>
          <w:lang w:eastAsia="pt-BR"/>
        </w:rPr>
        <w:t>.</w:t>
      </w:r>
    </w:p>
    <w:p w:rsidR="005D4C2F" w:rsidRDefault="005D4C2F"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35 mandava que os tabeliães prestassem fiança antes de começar a servir para garantir os danos que causassem,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perda do ofício</w:t>
      </w:r>
      <w:r w:rsidR="005D4C2F">
        <w:rPr>
          <w:rStyle w:val="Refdenotaderodap"/>
          <w:rFonts w:ascii="Times New Roman" w:eastAsia="Times New Roman" w:hAnsi="Times New Roman" w:cs="Times New Roman"/>
          <w:color w:val="000000"/>
          <w:sz w:val="24"/>
          <w:szCs w:val="24"/>
          <w:lang w:eastAsia="pt-BR"/>
        </w:rPr>
        <w:footnoteReference w:id="27"/>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O item 36 estabelecia que nas aldeias pequenas e distantes de qualquer cidade ou vila os oficiais da câmara deviam indicar uma pessoa para fazer os testamentos dos moradores da aldeia, o que não encontra paralelo no direito atual, não havendo previsão de que particulares exerçam funções notariais na ausência de um tabelião.</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lastRenderedPageBreak/>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3.2 No título LXIII do Livro I das citadas ordenações estabelecia-se um autêntico regimento de custas que chamaríamos hoje judiciais e extrajudiciais.</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No caput do referido título estabelecia-se a regra geral de que o tabelião levava um real para cada </w:t>
      </w:r>
      <w:proofErr w:type="gramStart"/>
      <w:r w:rsidRPr="00F55E9E">
        <w:rPr>
          <w:rFonts w:ascii="Times New Roman" w:eastAsia="Times New Roman" w:hAnsi="Times New Roman" w:cs="Times New Roman"/>
          <w:color w:val="000000"/>
          <w:sz w:val="24"/>
          <w:szCs w:val="24"/>
          <w:lang w:eastAsia="pt-BR"/>
        </w:rPr>
        <w:t>5</w:t>
      </w:r>
      <w:proofErr w:type="gramEnd"/>
      <w:r w:rsidRPr="00F55E9E">
        <w:rPr>
          <w:rFonts w:ascii="Times New Roman" w:eastAsia="Times New Roman" w:hAnsi="Times New Roman" w:cs="Times New Roman"/>
          <w:color w:val="000000"/>
          <w:sz w:val="24"/>
          <w:szCs w:val="24"/>
          <w:lang w:eastAsia="pt-BR"/>
        </w:rPr>
        <w:t xml:space="preserve"> regras e o escrivão a mesma quantia para 5,5 regras</w:t>
      </w:r>
      <w:r w:rsidR="005D4C2F">
        <w:rPr>
          <w:rStyle w:val="Refdenotaderodap"/>
          <w:rFonts w:ascii="Times New Roman" w:eastAsia="Times New Roman" w:hAnsi="Times New Roman" w:cs="Times New Roman"/>
          <w:color w:val="000000"/>
          <w:sz w:val="24"/>
          <w:szCs w:val="24"/>
          <w:lang w:eastAsia="pt-BR"/>
        </w:rPr>
        <w:footnoteReference w:id="28"/>
      </w:r>
      <w:r w:rsidRPr="00F55E9E">
        <w:rPr>
          <w:rFonts w:ascii="Times New Roman" w:eastAsia="Times New Roman" w:hAnsi="Times New Roman" w:cs="Times New Roman"/>
          <w:color w:val="000000"/>
          <w:sz w:val="24"/>
          <w:szCs w:val="24"/>
          <w:lang w:eastAsia="pt-BR"/>
        </w:rPr>
        <w:t>, justificando-se a diferença em razão da pensão que o tabelião pagava anualmente ao rei</w:t>
      </w:r>
      <w:r w:rsidR="0044448C">
        <w:rPr>
          <w:rStyle w:val="Refdenotaderodap"/>
          <w:rFonts w:ascii="Times New Roman" w:eastAsia="Times New Roman" w:hAnsi="Times New Roman" w:cs="Times New Roman"/>
          <w:color w:val="000000"/>
          <w:sz w:val="24"/>
          <w:szCs w:val="24"/>
          <w:lang w:eastAsia="pt-BR"/>
        </w:rPr>
        <w:footnoteReference w:id="29"/>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Para evitar o artifício de o tabelião escrever com letra grande para ganhar mais, previa-se que cada regra devia ter aproximadamente 30 letras.</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Em seguida há inúmeros itens no referido título minudenciando os emolumentos que os escrivães podiam cobrar ao praticar atos judiciais, não tendo dispositivos muito interessantes, salvo o item 21 que prescrevia que os escrivães deviam guardar os feitos cíveis por 30 anos e os criminais por 20.</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No item 29 estabelecia-se a pena de prisão e suspensão do ofício ao tabelião que fizesse uma escritura judicial e ao escrivão que fizesse uma </w:t>
      </w:r>
      <w:r w:rsidRPr="00F55E9E">
        <w:rPr>
          <w:rFonts w:ascii="Times New Roman" w:eastAsia="Times New Roman" w:hAnsi="Times New Roman" w:cs="Times New Roman"/>
          <w:color w:val="000000"/>
          <w:sz w:val="24"/>
          <w:szCs w:val="24"/>
          <w:lang w:eastAsia="pt-BR"/>
        </w:rPr>
        <w:lastRenderedPageBreak/>
        <w:t>escritura extrajudicial, sendo o ato nulo e estando o respectivo infrator sujeito a indenizar as perdas e danos correspondentes</w:t>
      </w:r>
      <w:r w:rsidR="0044448C">
        <w:rPr>
          <w:rStyle w:val="Refdenotaderodap"/>
          <w:rFonts w:ascii="Times New Roman" w:eastAsia="Times New Roman" w:hAnsi="Times New Roman" w:cs="Times New Roman"/>
          <w:color w:val="000000"/>
          <w:sz w:val="24"/>
          <w:szCs w:val="24"/>
          <w:lang w:eastAsia="pt-BR"/>
        </w:rPr>
        <w:footnoteReference w:id="30"/>
      </w:r>
      <w:r w:rsidRPr="00F55E9E">
        <w:rPr>
          <w:rFonts w:ascii="Times New Roman" w:eastAsia="Times New Roman" w:hAnsi="Times New Roman" w:cs="Times New Roman"/>
          <w:color w:val="000000"/>
          <w:sz w:val="24"/>
          <w:szCs w:val="24"/>
          <w:lang w:eastAsia="pt-BR"/>
        </w:rPr>
        <w:t>.</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No item 30 era estabelecido que, ao receber as cartas dos seus ofícios, os tabeliães e escrivães deviam receber o regimento de sua atividade, o qual devia sempre permanecer com eles para ser mostrado a quem o solicitasse,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perda do ofício e multa, sendo estabelecido aos tabeliães paulistas de hoje a obrigação de ter sempre consigo as normas de serviço baixadas pela Corregedoria Geral de Justiça</w:t>
      </w:r>
      <w:r w:rsidR="0044448C">
        <w:rPr>
          <w:rStyle w:val="Refdenotaderodap"/>
          <w:rFonts w:ascii="Times New Roman" w:eastAsia="Times New Roman" w:hAnsi="Times New Roman" w:cs="Times New Roman"/>
          <w:color w:val="000000"/>
          <w:sz w:val="24"/>
          <w:szCs w:val="24"/>
          <w:lang w:eastAsia="pt-BR"/>
        </w:rPr>
        <w:footnoteReference w:id="31"/>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No item 31 era previsto que a pessoa que servisse como tabelião sem ter carta do rei autorizadora devia ser degredado para a Ilha de São Tomé</w:t>
      </w:r>
      <w:r w:rsidR="0044448C">
        <w:rPr>
          <w:rStyle w:val="Refdenotaderodap"/>
          <w:rFonts w:ascii="Times New Roman" w:eastAsia="Times New Roman" w:hAnsi="Times New Roman" w:cs="Times New Roman"/>
          <w:color w:val="000000"/>
          <w:sz w:val="24"/>
          <w:szCs w:val="24"/>
          <w:lang w:eastAsia="pt-BR"/>
        </w:rPr>
        <w:footnoteReference w:id="32"/>
      </w:r>
      <w:r w:rsidRPr="00F55E9E">
        <w:rPr>
          <w:rFonts w:ascii="Times New Roman" w:eastAsia="Times New Roman" w:hAnsi="Times New Roman" w:cs="Times New Roman"/>
          <w:color w:val="000000"/>
          <w:sz w:val="24"/>
          <w:szCs w:val="24"/>
          <w:lang w:eastAsia="pt-BR"/>
        </w:rPr>
        <w:t xml:space="preserve"> por dez anos e os juízes que os deixassem servir sem a carta ou sem o regimento ficavam sujeitos </w:t>
      </w:r>
      <w:proofErr w:type="gramStart"/>
      <w:r w:rsidRPr="00F55E9E">
        <w:rPr>
          <w:rFonts w:ascii="Times New Roman" w:eastAsia="Times New Roman" w:hAnsi="Times New Roman" w:cs="Times New Roman"/>
          <w:color w:val="000000"/>
          <w:sz w:val="24"/>
          <w:szCs w:val="24"/>
          <w:lang w:eastAsia="pt-BR"/>
        </w:rPr>
        <w:t>a</w:t>
      </w:r>
      <w:proofErr w:type="gramEnd"/>
      <w:r w:rsidRPr="00F55E9E">
        <w:rPr>
          <w:rFonts w:ascii="Times New Roman" w:eastAsia="Times New Roman" w:hAnsi="Times New Roman" w:cs="Times New Roman"/>
          <w:color w:val="000000"/>
          <w:sz w:val="24"/>
          <w:szCs w:val="24"/>
          <w:lang w:eastAsia="pt-BR"/>
        </w:rPr>
        <w:t xml:space="preserve"> multa.</w:t>
      </w: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3.3 O título LXIV tratava dos tabeliães gerais, que, ao que tudo indica, eram notários com autorização para lavrar escrituras em um território que abrangia várias circunscrições menores, estando</w:t>
      </w:r>
      <w:proofErr w:type="gramStart"/>
      <w:r w:rsidRPr="00F55E9E">
        <w:rPr>
          <w:rFonts w:ascii="Times New Roman" w:eastAsia="Times New Roman" w:hAnsi="Times New Roman" w:cs="Times New Roman"/>
          <w:color w:val="000000"/>
          <w:sz w:val="24"/>
          <w:szCs w:val="24"/>
          <w:lang w:eastAsia="pt-BR"/>
        </w:rPr>
        <w:t xml:space="preserve"> contudo</w:t>
      </w:r>
      <w:proofErr w:type="gramEnd"/>
      <w:r w:rsidRPr="00F55E9E">
        <w:rPr>
          <w:rFonts w:ascii="Times New Roman" w:eastAsia="Times New Roman" w:hAnsi="Times New Roman" w:cs="Times New Roman"/>
          <w:color w:val="000000"/>
          <w:sz w:val="24"/>
          <w:szCs w:val="24"/>
          <w:lang w:eastAsia="pt-BR"/>
        </w:rPr>
        <w:t xml:space="preserve"> obrigados a não permanecer mais de dois meses em uma mesma circunscrição.</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Os referidos tabeliães eram obrigados a pagar uma pensão de dois mil reais por ano ao rei, parecendo tratar-se de uma grande quantia, e dar fiador do pagamento dessa quantia antes do início do exercício de sua atividade,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prisão.</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3.4 O Título LXXIV proibia os tabeliães e escrivães de vender seus ofícios,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perda do ofício e do preço de venda, bem como proibia o trespasse do ofício sem autorização expressa do rei, não havendo hoje igualmente a possibilidade de um tabelião vender sua delegação a terceiros.</w:t>
      </w: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lastRenderedPageBreak/>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w:t>
      </w:r>
      <w:proofErr w:type="gramStart"/>
      <w:r w:rsidRPr="00F55E9E">
        <w:rPr>
          <w:rFonts w:ascii="Times New Roman" w:eastAsia="Times New Roman" w:hAnsi="Times New Roman" w:cs="Times New Roman"/>
          <w:color w:val="000000"/>
          <w:sz w:val="24"/>
          <w:szCs w:val="24"/>
          <w:lang w:eastAsia="pt-BR"/>
        </w:rPr>
        <w:t>4</w:t>
      </w:r>
      <w:proofErr w:type="gramEnd"/>
      <w:r w:rsidRPr="00F55E9E">
        <w:rPr>
          <w:rFonts w:ascii="Times New Roman" w:eastAsia="Times New Roman" w:hAnsi="Times New Roman" w:cs="Times New Roman"/>
          <w:color w:val="000000"/>
          <w:sz w:val="24"/>
          <w:szCs w:val="24"/>
          <w:lang w:eastAsia="pt-BR"/>
        </w:rPr>
        <w:t xml:space="preserve"> do referido título estabelecia a curiosa obrigação de o oficial solteiro casar-se no prazo de um ano a contar da outorga do ofício sob pena de perda do ofício; o oficial que enviuvasse estava obrigado a casar-se </w:t>
      </w:r>
      <w:proofErr w:type="spellStart"/>
      <w:r w:rsidRPr="00F55E9E">
        <w:rPr>
          <w:rFonts w:ascii="Times New Roman" w:eastAsia="Times New Roman" w:hAnsi="Times New Roman" w:cs="Times New Roman"/>
          <w:color w:val="000000"/>
          <w:sz w:val="24"/>
          <w:szCs w:val="24"/>
          <w:lang w:eastAsia="pt-BR"/>
        </w:rPr>
        <w:t>novamento</w:t>
      </w:r>
      <w:proofErr w:type="spellEnd"/>
      <w:r w:rsidRPr="00F55E9E">
        <w:rPr>
          <w:rFonts w:ascii="Times New Roman" w:eastAsia="Times New Roman" w:hAnsi="Times New Roman" w:cs="Times New Roman"/>
          <w:color w:val="000000"/>
          <w:sz w:val="24"/>
          <w:szCs w:val="24"/>
          <w:lang w:eastAsia="pt-BR"/>
        </w:rPr>
        <w:t xml:space="preserve"> no mesmo prazo, sob a mesma pena, salvo se tivesse mais de quarenta anos.</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3.5 O Título LXXVI do mesmo livro estabelecia que o rei </w:t>
      </w:r>
      <w:proofErr w:type="gramStart"/>
      <w:r w:rsidRPr="00F55E9E">
        <w:rPr>
          <w:rFonts w:ascii="Times New Roman" w:eastAsia="Times New Roman" w:hAnsi="Times New Roman" w:cs="Times New Roman"/>
          <w:color w:val="000000"/>
          <w:sz w:val="24"/>
          <w:szCs w:val="24"/>
          <w:lang w:eastAsia="pt-BR"/>
        </w:rPr>
        <w:t>podia</w:t>
      </w:r>
      <w:proofErr w:type="gramEnd"/>
      <w:r w:rsidRPr="00F55E9E">
        <w:rPr>
          <w:rFonts w:ascii="Times New Roman" w:eastAsia="Times New Roman" w:hAnsi="Times New Roman" w:cs="Times New Roman"/>
          <w:color w:val="000000"/>
          <w:sz w:val="24"/>
          <w:szCs w:val="24"/>
          <w:lang w:eastAsia="pt-BR"/>
        </w:rPr>
        <w:t xml:space="preserve"> destituir ad nutum qualquer </w:t>
      </w:r>
      <w:proofErr w:type="spellStart"/>
      <w:r w:rsidRPr="00F55E9E">
        <w:rPr>
          <w:rFonts w:ascii="Times New Roman" w:eastAsia="Times New Roman" w:hAnsi="Times New Roman" w:cs="Times New Roman"/>
          <w:color w:val="000000"/>
          <w:sz w:val="24"/>
          <w:szCs w:val="24"/>
          <w:lang w:eastAsia="pt-BR"/>
        </w:rPr>
        <w:t>ofícial</w:t>
      </w:r>
      <w:proofErr w:type="spellEnd"/>
      <w:r w:rsidRPr="00F55E9E">
        <w:rPr>
          <w:rFonts w:ascii="Times New Roman" w:eastAsia="Times New Roman" w:hAnsi="Times New Roman" w:cs="Times New Roman"/>
          <w:color w:val="000000"/>
          <w:sz w:val="24"/>
          <w:szCs w:val="24"/>
          <w:lang w:eastAsia="pt-BR"/>
        </w:rPr>
        <w:t xml:space="preserve"> da justiça ou da fazenda - não sendo claro se os tabeliães estavam inseridos nessa categoria - sempre que o rei perdesse a confiança neles, não estando o monarca obrigado a nenhuma indenização</w:t>
      </w:r>
      <w:r w:rsidR="0044448C">
        <w:rPr>
          <w:rStyle w:val="Refdenotaderodap"/>
          <w:rFonts w:ascii="Times New Roman" w:eastAsia="Times New Roman" w:hAnsi="Times New Roman" w:cs="Times New Roman"/>
          <w:color w:val="000000"/>
          <w:sz w:val="24"/>
          <w:szCs w:val="24"/>
          <w:lang w:eastAsia="pt-BR"/>
        </w:rPr>
        <w:footnoteReference w:id="33"/>
      </w:r>
      <w:r w:rsidRPr="00F55E9E">
        <w:rPr>
          <w:rFonts w:ascii="Times New Roman" w:eastAsia="Times New Roman" w:hAnsi="Times New Roman" w:cs="Times New Roman"/>
          <w:color w:val="000000"/>
          <w:sz w:val="24"/>
          <w:szCs w:val="24"/>
          <w:lang w:eastAsia="pt-BR"/>
        </w:rPr>
        <w:t>.</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D5042F" w:rsidRDefault="00F55E9E" w:rsidP="00D5042F">
      <w:pPr>
        <w:spacing w:after="0" w:line="360" w:lineRule="auto"/>
        <w:ind w:firstLine="2832"/>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t xml:space="preserve">4.1 O Título VIII do livro II das Ordenações Manuelinas proibia que a Igreja e as ordens religiosas adquirissem imóveis, inclusive por testamento, sem autorização do rei,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perda desses bens para o patrimônio real, o que não deixa de ser um pouco </w:t>
      </w:r>
      <w:proofErr w:type="spellStart"/>
      <w:r w:rsidRPr="00F55E9E">
        <w:rPr>
          <w:rFonts w:ascii="Times New Roman" w:eastAsia="Times New Roman" w:hAnsi="Times New Roman" w:cs="Times New Roman"/>
          <w:color w:val="000000"/>
          <w:sz w:val="24"/>
          <w:szCs w:val="24"/>
          <w:lang w:eastAsia="pt-BR"/>
        </w:rPr>
        <w:t>surprendente</w:t>
      </w:r>
      <w:proofErr w:type="spellEnd"/>
      <w:r w:rsidRPr="00F55E9E">
        <w:rPr>
          <w:rFonts w:ascii="Times New Roman" w:eastAsia="Times New Roman" w:hAnsi="Times New Roman" w:cs="Times New Roman"/>
          <w:color w:val="000000"/>
          <w:sz w:val="24"/>
          <w:szCs w:val="24"/>
          <w:lang w:eastAsia="pt-BR"/>
        </w:rPr>
        <w:t>, parecendo uma intromissão indevida do rei na vida eclesiástica.</w:t>
      </w:r>
    </w:p>
    <w:p w:rsidR="00D5042F" w:rsidRDefault="00D5042F" w:rsidP="00D5042F">
      <w:pPr>
        <w:spacing w:after="0" w:line="360" w:lineRule="auto"/>
        <w:ind w:firstLine="2832"/>
        <w:jc w:val="both"/>
        <w:rPr>
          <w:rFonts w:ascii="Times New Roman" w:eastAsia="Times New Roman" w:hAnsi="Times New Roman" w:cs="Times New Roman"/>
          <w:sz w:val="24"/>
          <w:szCs w:val="24"/>
          <w:lang w:eastAsia="pt-BR"/>
        </w:rPr>
      </w:pPr>
    </w:p>
    <w:p w:rsidR="00F55E9E" w:rsidRPr="00F55E9E" w:rsidRDefault="00F55E9E" w:rsidP="00D5042F">
      <w:pPr>
        <w:spacing w:after="0" w:line="360" w:lineRule="auto"/>
        <w:ind w:firstLine="2832"/>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t xml:space="preserve">4.2 O Título X do Livro II estabelecia que os tabeliães eclesiásticos </w:t>
      </w:r>
      <w:proofErr w:type="gramStart"/>
      <w:r w:rsidRPr="00F55E9E">
        <w:rPr>
          <w:rFonts w:ascii="Times New Roman" w:eastAsia="Times New Roman" w:hAnsi="Times New Roman" w:cs="Times New Roman"/>
          <w:color w:val="000000"/>
          <w:sz w:val="24"/>
          <w:szCs w:val="24"/>
          <w:lang w:eastAsia="pt-BR"/>
        </w:rPr>
        <w:t>deviam</w:t>
      </w:r>
      <w:proofErr w:type="gramEnd"/>
      <w:r w:rsidRPr="00F55E9E">
        <w:rPr>
          <w:rFonts w:ascii="Times New Roman" w:eastAsia="Times New Roman" w:hAnsi="Times New Roman" w:cs="Times New Roman"/>
          <w:color w:val="000000"/>
          <w:sz w:val="24"/>
          <w:szCs w:val="24"/>
          <w:lang w:eastAsia="pt-BR"/>
        </w:rPr>
        <w:t xml:space="preserve"> cobrar por suas escrituras aquilo que era devido aos escrivães da corte, determinando o rei que, em caso de descumprimento, os superiores eclesiásticos deviam punir o referido escrivão, se fosse clérigo ou religioso, e as autoridades civis deviam puni-lo se fosse leigo. Em seguida era proibido a esses escrivães lavrar escrituras em que algum dos contratantes fosse leigo, sendo considerada tal escritura nula para todos os efeitos e se punindo com multa o referido escrivão, se fosse leigo, e o </w:t>
      </w:r>
      <w:r w:rsidRPr="00F55E9E">
        <w:rPr>
          <w:rFonts w:ascii="Times New Roman" w:eastAsia="Times New Roman" w:hAnsi="Times New Roman" w:cs="Times New Roman"/>
          <w:color w:val="000000"/>
          <w:sz w:val="24"/>
          <w:szCs w:val="24"/>
          <w:lang w:eastAsia="pt-BR"/>
        </w:rPr>
        <w:lastRenderedPageBreak/>
        <w:t>participante da escritura, sendo interessante mencionar que metade da multa era destinada à libertação dos cativos e metade para o patrimônio do rei.</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4.3 O Título XV do referido livro era intitulado “dos direitos </w:t>
      </w:r>
      <w:proofErr w:type="spellStart"/>
      <w:r w:rsidRPr="00F55E9E">
        <w:rPr>
          <w:rFonts w:ascii="Times New Roman" w:eastAsia="Times New Roman" w:hAnsi="Times New Roman" w:cs="Times New Roman"/>
          <w:color w:val="000000"/>
          <w:sz w:val="24"/>
          <w:szCs w:val="24"/>
          <w:lang w:eastAsia="pt-BR"/>
        </w:rPr>
        <w:t>reaes</w:t>
      </w:r>
      <w:proofErr w:type="spellEnd"/>
      <w:r w:rsidRPr="00F55E9E">
        <w:rPr>
          <w:rFonts w:ascii="Times New Roman" w:eastAsia="Times New Roman" w:hAnsi="Times New Roman" w:cs="Times New Roman"/>
          <w:color w:val="000000"/>
          <w:sz w:val="24"/>
          <w:szCs w:val="24"/>
          <w:lang w:eastAsia="pt-BR"/>
        </w:rPr>
        <w:t xml:space="preserve"> que a El Rey pertence </w:t>
      </w:r>
      <w:proofErr w:type="spellStart"/>
      <w:r w:rsidRPr="00F55E9E">
        <w:rPr>
          <w:rFonts w:ascii="Times New Roman" w:eastAsia="Times New Roman" w:hAnsi="Times New Roman" w:cs="Times New Roman"/>
          <w:color w:val="000000"/>
          <w:sz w:val="24"/>
          <w:szCs w:val="24"/>
          <w:lang w:eastAsia="pt-BR"/>
        </w:rPr>
        <w:t>aver</w:t>
      </w:r>
      <w:proofErr w:type="spellEnd"/>
      <w:r w:rsidRPr="00F55E9E">
        <w:rPr>
          <w:rFonts w:ascii="Times New Roman" w:eastAsia="Times New Roman" w:hAnsi="Times New Roman" w:cs="Times New Roman"/>
          <w:color w:val="000000"/>
          <w:sz w:val="24"/>
          <w:szCs w:val="24"/>
          <w:lang w:eastAsia="pt-BR"/>
        </w:rPr>
        <w:t xml:space="preserve"> em seus </w:t>
      </w:r>
      <w:proofErr w:type="spellStart"/>
      <w:r w:rsidRPr="00F55E9E">
        <w:rPr>
          <w:rFonts w:ascii="Times New Roman" w:eastAsia="Times New Roman" w:hAnsi="Times New Roman" w:cs="Times New Roman"/>
          <w:color w:val="000000"/>
          <w:sz w:val="24"/>
          <w:szCs w:val="24"/>
          <w:lang w:eastAsia="pt-BR"/>
        </w:rPr>
        <w:t>Reynos</w:t>
      </w:r>
      <w:proofErr w:type="spellEnd"/>
      <w:r w:rsidRPr="00F55E9E">
        <w:rPr>
          <w:rFonts w:ascii="Times New Roman" w:eastAsia="Times New Roman" w:hAnsi="Times New Roman" w:cs="Times New Roman"/>
          <w:color w:val="000000"/>
          <w:sz w:val="24"/>
          <w:szCs w:val="24"/>
          <w:lang w:eastAsia="pt-BR"/>
        </w:rPr>
        <w:t>”, convindo já deixar claro que aqui direitos reais significavam os direitos do rei e não, como hoje em dia, a sujeição de uma coisa à vontade de uma pessoa.</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E dentre os diversos direitos do rei de Portugal enumerados no referido título XV sobressai-se o poder de “</w:t>
      </w:r>
      <w:proofErr w:type="gramStart"/>
      <w:r w:rsidRPr="00F55E9E">
        <w:rPr>
          <w:rFonts w:ascii="Times New Roman" w:eastAsia="Times New Roman" w:hAnsi="Times New Roman" w:cs="Times New Roman"/>
          <w:color w:val="000000"/>
          <w:sz w:val="24"/>
          <w:szCs w:val="24"/>
          <w:lang w:eastAsia="pt-BR"/>
        </w:rPr>
        <w:t>fazer …</w:t>
      </w:r>
      <w:proofErr w:type="gramEnd"/>
      <w:r w:rsidRPr="00F55E9E">
        <w:rPr>
          <w:rFonts w:ascii="Times New Roman" w:eastAsia="Times New Roman" w:hAnsi="Times New Roman" w:cs="Times New Roman"/>
          <w:color w:val="000000"/>
          <w:sz w:val="24"/>
          <w:szCs w:val="24"/>
          <w:lang w:eastAsia="pt-BR"/>
        </w:rPr>
        <w:t xml:space="preserve"> </w:t>
      </w:r>
      <w:proofErr w:type="spellStart"/>
      <w:r w:rsidRPr="00F55E9E">
        <w:rPr>
          <w:rFonts w:ascii="Times New Roman" w:eastAsia="Times New Roman" w:hAnsi="Times New Roman" w:cs="Times New Roman"/>
          <w:color w:val="000000"/>
          <w:sz w:val="24"/>
          <w:szCs w:val="24"/>
          <w:lang w:eastAsia="pt-BR"/>
        </w:rPr>
        <w:t>tabaliaens</w:t>
      </w:r>
      <w:proofErr w:type="spellEnd"/>
      <w:r w:rsidRPr="00F55E9E">
        <w:rPr>
          <w:rFonts w:ascii="Times New Roman" w:eastAsia="Times New Roman" w:hAnsi="Times New Roman" w:cs="Times New Roman"/>
          <w:color w:val="000000"/>
          <w:sz w:val="24"/>
          <w:szCs w:val="24"/>
          <w:lang w:eastAsia="pt-BR"/>
        </w:rPr>
        <w:t xml:space="preserve"> e </w:t>
      </w:r>
      <w:proofErr w:type="spellStart"/>
      <w:r w:rsidRPr="00F55E9E">
        <w:rPr>
          <w:rFonts w:ascii="Times New Roman" w:eastAsia="Times New Roman" w:hAnsi="Times New Roman" w:cs="Times New Roman"/>
          <w:color w:val="000000"/>
          <w:sz w:val="24"/>
          <w:szCs w:val="24"/>
          <w:lang w:eastAsia="pt-BR"/>
        </w:rPr>
        <w:t>quaesquer</w:t>
      </w:r>
      <w:proofErr w:type="spellEnd"/>
      <w:r w:rsidRPr="00F55E9E">
        <w:rPr>
          <w:rFonts w:ascii="Times New Roman" w:eastAsia="Times New Roman" w:hAnsi="Times New Roman" w:cs="Times New Roman"/>
          <w:color w:val="000000"/>
          <w:sz w:val="24"/>
          <w:szCs w:val="24"/>
          <w:lang w:eastAsia="pt-BR"/>
        </w:rPr>
        <w:t xml:space="preserve"> outros </w:t>
      </w:r>
      <w:proofErr w:type="spellStart"/>
      <w:r w:rsidRPr="00F55E9E">
        <w:rPr>
          <w:rFonts w:ascii="Times New Roman" w:eastAsia="Times New Roman" w:hAnsi="Times New Roman" w:cs="Times New Roman"/>
          <w:color w:val="000000"/>
          <w:sz w:val="24"/>
          <w:szCs w:val="24"/>
          <w:lang w:eastAsia="pt-BR"/>
        </w:rPr>
        <w:t>officiaes</w:t>
      </w:r>
      <w:proofErr w:type="spellEnd"/>
      <w:r w:rsidRPr="00F55E9E">
        <w:rPr>
          <w:rFonts w:ascii="Times New Roman" w:eastAsia="Times New Roman" w:hAnsi="Times New Roman" w:cs="Times New Roman"/>
          <w:color w:val="000000"/>
          <w:sz w:val="24"/>
          <w:szCs w:val="24"/>
          <w:lang w:eastAsia="pt-BR"/>
        </w:rPr>
        <w:t xml:space="preserve"> deputados para ministrar justiça”.</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4.4 O Título XXVI do referido livro tratava das jurisdições dadas pelo rei a determinadas pessoas: ou seja, ao longo da história de Portugal, reis doaram terras a duques, marqueses, condes, prelados </w:t>
      </w:r>
      <w:proofErr w:type="spellStart"/>
      <w:r w:rsidRPr="00F55E9E">
        <w:rPr>
          <w:rFonts w:ascii="Times New Roman" w:eastAsia="Times New Roman" w:hAnsi="Times New Roman" w:cs="Times New Roman"/>
          <w:color w:val="000000"/>
          <w:sz w:val="24"/>
          <w:szCs w:val="24"/>
          <w:lang w:eastAsia="pt-BR"/>
        </w:rPr>
        <w:t>etc</w:t>
      </w:r>
      <w:proofErr w:type="spellEnd"/>
      <w:r w:rsidRPr="00F55E9E">
        <w:rPr>
          <w:rFonts w:ascii="Times New Roman" w:eastAsia="Times New Roman" w:hAnsi="Times New Roman" w:cs="Times New Roman"/>
          <w:color w:val="000000"/>
          <w:sz w:val="24"/>
          <w:szCs w:val="24"/>
          <w:lang w:eastAsia="pt-BR"/>
        </w:rPr>
        <w:t>, concedendo conjuntamente o poder de julgar causas cíveis e/ou criminais.</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E ao que tudo indica Dom Manoel estava procurando centralizar o poder, cerceando essas jurisdições doadas.</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Contudo, ao mesmo tempo, fica muito claro que Dom Manoel não ousava desrespeitar aquilo que havia sido avençado nos respectivos títulos de doação por seus antecessores.</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Então, nesse longo título, é dito que, se na escritura de doação da jurisdição não tivesse constado a transmissão do poder de fazer tabeliães, o donatário e seus sucessores não podiam mais nomear tabeliães; contudo, se constasse cláusula autorizadora, o donatário e seus sucessores podiam normalmente fazer tais nomeações.</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Hoje em dia nada impediria uma mudança constitucional para reaver um poder qualquer que tivesse sido delegado no passado; mas no século XVI não era assim: se algum rei precedente tivesse doado uma jurisdição com o poder de nomear tabeliães, Dom Manuel não se achava com poder de desrespeitar essa cláusula da doação, o que é um aspecto interessantíssimo.</w:t>
      </w: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lastRenderedPageBreak/>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4.5 O Título XXVII trata da jurisdição criminal dos capitães “dos </w:t>
      </w:r>
      <w:proofErr w:type="spellStart"/>
      <w:r w:rsidRPr="00F55E9E">
        <w:rPr>
          <w:rFonts w:ascii="Times New Roman" w:eastAsia="Times New Roman" w:hAnsi="Times New Roman" w:cs="Times New Roman"/>
          <w:color w:val="000000"/>
          <w:sz w:val="24"/>
          <w:szCs w:val="24"/>
          <w:lang w:eastAsia="pt-BR"/>
        </w:rPr>
        <w:t>luguares</w:t>
      </w:r>
      <w:proofErr w:type="spellEnd"/>
      <w:r w:rsidRPr="00F55E9E">
        <w:rPr>
          <w:rFonts w:ascii="Times New Roman" w:eastAsia="Times New Roman" w:hAnsi="Times New Roman" w:cs="Times New Roman"/>
          <w:color w:val="000000"/>
          <w:sz w:val="24"/>
          <w:szCs w:val="24"/>
          <w:lang w:eastAsia="pt-BR"/>
        </w:rPr>
        <w:t xml:space="preserve"> </w:t>
      </w:r>
      <w:proofErr w:type="spellStart"/>
      <w:proofErr w:type="gramStart"/>
      <w:r w:rsidRPr="00F55E9E">
        <w:rPr>
          <w:rFonts w:ascii="Times New Roman" w:eastAsia="Times New Roman" w:hAnsi="Times New Roman" w:cs="Times New Roman"/>
          <w:color w:val="000000"/>
          <w:sz w:val="24"/>
          <w:szCs w:val="24"/>
          <w:lang w:eastAsia="pt-BR"/>
        </w:rPr>
        <w:t>da´Africa</w:t>
      </w:r>
      <w:proofErr w:type="spellEnd"/>
      <w:proofErr w:type="gramEnd"/>
      <w:r w:rsidRPr="00F55E9E">
        <w:rPr>
          <w:rFonts w:ascii="Times New Roman" w:eastAsia="Times New Roman" w:hAnsi="Times New Roman" w:cs="Times New Roman"/>
          <w:color w:val="000000"/>
          <w:sz w:val="24"/>
          <w:szCs w:val="24"/>
          <w:lang w:eastAsia="pt-BR"/>
        </w:rPr>
        <w:t>”, sendo provavelmente essa a competência criminal dos capitães hereditários do Brasil, que, apenas nos casos de pena de morte ou de amputação de membro, estava sujeita a apelação ao rei.</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4.6 No Título XLVIII </w:t>
      </w:r>
      <w:proofErr w:type="gramStart"/>
      <w:r w:rsidRPr="00F55E9E">
        <w:rPr>
          <w:rFonts w:ascii="Times New Roman" w:eastAsia="Times New Roman" w:hAnsi="Times New Roman" w:cs="Times New Roman"/>
          <w:color w:val="000000"/>
          <w:sz w:val="24"/>
          <w:szCs w:val="24"/>
          <w:lang w:eastAsia="pt-BR"/>
        </w:rPr>
        <w:t>era</w:t>
      </w:r>
      <w:proofErr w:type="gramEnd"/>
      <w:r w:rsidRPr="00F55E9E">
        <w:rPr>
          <w:rFonts w:ascii="Times New Roman" w:eastAsia="Times New Roman" w:hAnsi="Times New Roman" w:cs="Times New Roman"/>
          <w:color w:val="000000"/>
          <w:sz w:val="24"/>
          <w:szCs w:val="24"/>
          <w:lang w:eastAsia="pt-BR"/>
        </w:rPr>
        <w:t xml:space="preserve"> estabelecido que todo oficial obrigado a ter livros, inclusive os tabeliães, devia encaderná-los e os apresentar a seu superior para que as folhas fossem numeradas e assinadas, sob pena de perda do ofício e de toda a sua fazenda, ficando a dúvida se isso significava a perda de todo o seu patrimônio</w:t>
      </w:r>
      <w:r w:rsidR="0044448C">
        <w:rPr>
          <w:rStyle w:val="Refdenotaderodap"/>
          <w:rFonts w:ascii="Times New Roman" w:eastAsia="Times New Roman" w:hAnsi="Times New Roman" w:cs="Times New Roman"/>
          <w:color w:val="000000"/>
          <w:sz w:val="24"/>
          <w:szCs w:val="24"/>
          <w:lang w:eastAsia="pt-BR"/>
        </w:rPr>
        <w:footnoteReference w:id="34"/>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Curiosamente nesse título previa-se a hipótese de o juiz não saber ler nem escrever, ocasião em que o livro devia ser levado para outra autoridade.</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5.1 No Título XVI do Livro III estabelecia-se um rito mais célere para a cobrança judicial das obrigações comprovadas por escrituras públicas, o qual lembra muito o atual rito das ações monitórias</w:t>
      </w:r>
      <w:r w:rsidR="0044448C">
        <w:rPr>
          <w:rStyle w:val="Refdenotaderodap"/>
          <w:rFonts w:ascii="Times New Roman" w:eastAsia="Times New Roman" w:hAnsi="Times New Roman" w:cs="Times New Roman"/>
          <w:color w:val="000000"/>
          <w:sz w:val="24"/>
          <w:szCs w:val="24"/>
          <w:lang w:eastAsia="pt-BR"/>
        </w:rPr>
        <w:footnoteReference w:id="35"/>
      </w:r>
      <w:r w:rsidRPr="00F55E9E">
        <w:rPr>
          <w:rFonts w:ascii="Times New Roman" w:eastAsia="Times New Roman" w:hAnsi="Times New Roman" w:cs="Times New Roman"/>
          <w:color w:val="000000"/>
          <w:sz w:val="24"/>
          <w:szCs w:val="24"/>
          <w:lang w:eastAsia="pt-BR"/>
        </w:rPr>
        <w:t xml:space="preserve">: o réu era citado para pagar ou apresentar sua defesa no prazo de 10 dias; se o réu não pagasse ou se defendesse, o juiz </w:t>
      </w:r>
      <w:r w:rsidRPr="00F55E9E">
        <w:rPr>
          <w:rFonts w:ascii="Times New Roman" w:eastAsia="Times New Roman" w:hAnsi="Times New Roman" w:cs="Times New Roman"/>
          <w:color w:val="000000"/>
          <w:sz w:val="24"/>
          <w:szCs w:val="24"/>
          <w:lang w:eastAsia="pt-BR"/>
        </w:rPr>
        <w:lastRenderedPageBreak/>
        <w:t>devia condená-lo imediatamente; se o réu apresentasse defesa, o juiz devia permitir a ele que provasse suas alegações, mas concomitantemente se fazia uma execução provisória da dívida, só podendo o autor levantar o dinheiro se apresentasse fiança bastante; e, se a defesa do réu fosse acolhida, o juiz devia condenar o autor a pagar ao réu a quantia demandada ilegitimamente, ao passo que, se a defesa fosse rejeitada, o réu devia ser condenado a pagar em dobro a quantia demandada.</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5.2 No título XLV do Livro III </w:t>
      </w:r>
      <w:proofErr w:type="gramStart"/>
      <w:r w:rsidRPr="00F55E9E">
        <w:rPr>
          <w:rFonts w:ascii="Times New Roman" w:eastAsia="Times New Roman" w:hAnsi="Times New Roman" w:cs="Times New Roman"/>
          <w:color w:val="000000"/>
          <w:sz w:val="24"/>
          <w:szCs w:val="24"/>
          <w:lang w:eastAsia="pt-BR"/>
        </w:rPr>
        <w:t>estabelecia-se</w:t>
      </w:r>
      <w:proofErr w:type="gramEnd"/>
      <w:r w:rsidRPr="00F55E9E">
        <w:rPr>
          <w:rFonts w:ascii="Times New Roman" w:eastAsia="Times New Roman" w:hAnsi="Times New Roman" w:cs="Times New Roman"/>
          <w:color w:val="000000"/>
          <w:sz w:val="24"/>
          <w:szCs w:val="24"/>
          <w:lang w:eastAsia="pt-BR"/>
        </w:rPr>
        <w:t xml:space="preserve"> que todo contrato de bens imóveis de valor superior a 600 reais e todo contrato de bens móveis de valor superior a 30000 reais brancos (pelo jeito, um real branco valia menos que um real) só podia ser provado por escritura pública.</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E não era só o contrato: o respectivo pagamento e o distrato também precisavam ser provados por escritura pública.</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E nesses casos as ordenações proibiam que se considerasse provado um contrato ou seu pagamento apenas por testemunhas, bem como proibiam os juízes de conhecer o litígio sem a apresentação da escritura pública.</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E, mesmo nos casos de valor inferior, se o contrato fosse celebrado por escritura pública, ainda que </w:t>
      </w:r>
      <w:proofErr w:type="gramStart"/>
      <w:r w:rsidRPr="00F55E9E">
        <w:rPr>
          <w:rFonts w:ascii="Times New Roman" w:eastAsia="Times New Roman" w:hAnsi="Times New Roman" w:cs="Times New Roman"/>
          <w:color w:val="000000"/>
          <w:sz w:val="24"/>
          <w:szCs w:val="24"/>
          <w:lang w:eastAsia="pt-BR"/>
        </w:rPr>
        <w:t>facultativa, o pagamento ou a quitação</w:t>
      </w:r>
      <w:proofErr w:type="gramEnd"/>
      <w:r w:rsidRPr="00F55E9E">
        <w:rPr>
          <w:rFonts w:ascii="Times New Roman" w:eastAsia="Times New Roman" w:hAnsi="Times New Roman" w:cs="Times New Roman"/>
          <w:color w:val="000000"/>
          <w:sz w:val="24"/>
          <w:szCs w:val="24"/>
          <w:lang w:eastAsia="pt-BR"/>
        </w:rPr>
        <w:t xml:space="preserve"> precisavam também ser provados por escritura pública.</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Nesses casos em que o autor não tivesse a escritura pública, ele podia pedir a citação do réu para vir a juízo jurar sobre o Evangelho a respeito do litígio: se o réu comparecesse e jurasse sua inocência, o juiz devia condenar o autor nas custas; se recusasse o juramento, o réu devia ser condenado.</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Nos casos em que o pagamento apenas admitia prova por escritura pública, se o réu tivesse um alvará privado, que provavelmente era um recibo assinado pelo credor sem a participação de um tabelião, o juiz devia convidar o réu a jurar sobre os Evangelhos: feito o juramento, o réu devia ser absolvido; negado o juramento, ele devia ser condenado.</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lastRenderedPageBreak/>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Os alvarás assinados por bispos, abades, fidalgos, cavaleiros, mestres em teologia ou doutores em leis tinham o mesmo valor probatório que uma escritura pública, em razão da dignidade das referidas pessoas.</w:t>
      </w: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Todo o título das referidas </w:t>
      </w:r>
      <w:proofErr w:type="gramStart"/>
      <w:r w:rsidRPr="00F55E9E">
        <w:rPr>
          <w:rFonts w:ascii="Times New Roman" w:eastAsia="Times New Roman" w:hAnsi="Times New Roman" w:cs="Times New Roman"/>
          <w:color w:val="000000"/>
          <w:sz w:val="24"/>
          <w:szCs w:val="24"/>
          <w:lang w:eastAsia="pt-BR"/>
        </w:rPr>
        <w:t>ordenações comentado neste item</w:t>
      </w:r>
      <w:proofErr w:type="gramEnd"/>
      <w:r w:rsidRPr="00F55E9E">
        <w:rPr>
          <w:rFonts w:ascii="Times New Roman" w:eastAsia="Times New Roman" w:hAnsi="Times New Roman" w:cs="Times New Roman"/>
          <w:color w:val="000000"/>
          <w:sz w:val="24"/>
          <w:szCs w:val="24"/>
          <w:lang w:eastAsia="pt-BR"/>
        </w:rPr>
        <w:t xml:space="preserve"> parece estar na origem dos artigos 401</w:t>
      </w:r>
      <w:r w:rsidR="0044448C">
        <w:rPr>
          <w:rStyle w:val="Refdenotaderodap"/>
          <w:rFonts w:ascii="Times New Roman" w:eastAsia="Times New Roman" w:hAnsi="Times New Roman" w:cs="Times New Roman"/>
          <w:color w:val="000000"/>
          <w:sz w:val="24"/>
          <w:szCs w:val="24"/>
          <w:lang w:eastAsia="pt-BR"/>
        </w:rPr>
        <w:footnoteReference w:id="36"/>
      </w:r>
      <w:r w:rsidRPr="00F55E9E">
        <w:rPr>
          <w:rFonts w:ascii="Times New Roman" w:eastAsia="Times New Roman" w:hAnsi="Times New Roman" w:cs="Times New Roman"/>
          <w:color w:val="000000"/>
          <w:sz w:val="24"/>
          <w:szCs w:val="24"/>
          <w:lang w:eastAsia="pt-BR"/>
        </w:rPr>
        <w:t xml:space="preserve"> do Código de Processo Civil atual, bem como dos artigos 108</w:t>
      </w:r>
      <w:r w:rsidR="0044448C">
        <w:rPr>
          <w:rStyle w:val="Refdenotaderodap"/>
          <w:rFonts w:ascii="Times New Roman" w:eastAsia="Times New Roman" w:hAnsi="Times New Roman" w:cs="Times New Roman"/>
          <w:color w:val="000000"/>
          <w:sz w:val="24"/>
          <w:szCs w:val="24"/>
          <w:lang w:eastAsia="pt-BR"/>
        </w:rPr>
        <w:footnoteReference w:id="37"/>
      </w:r>
      <w:r w:rsidRPr="00F55E9E">
        <w:rPr>
          <w:rFonts w:ascii="Times New Roman" w:eastAsia="Times New Roman" w:hAnsi="Times New Roman" w:cs="Times New Roman"/>
          <w:color w:val="000000"/>
          <w:sz w:val="24"/>
          <w:szCs w:val="24"/>
          <w:lang w:eastAsia="pt-BR"/>
        </w:rPr>
        <w:t>, 215</w:t>
      </w:r>
      <w:r w:rsidR="0044448C">
        <w:rPr>
          <w:rStyle w:val="Refdenotaderodap"/>
          <w:rFonts w:ascii="Times New Roman" w:eastAsia="Times New Roman" w:hAnsi="Times New Roman" w:cs="Times New Roman"/>
          <w:color w:val="000000"/>
          <w:sz w:val="24"/>
          <w:szCs w:val="24"/>
          <w:lang w:eastAsia="pt-BR"/>
        </w:rPr>
        <w:footnoteReference w:id="38"/>
      </w:r>
      <w:r w:rsidRPr="00F55E9E">
        <w:rPr>
          <w:rFonts w:ascii="Times New Roman" w:eastAsia="Times New Roman" w:hAnsi="Times New Roman" w:cs="Times New Roman"/>
          <w:color w:val="000000"/>
          <w:sz w:val="24"/>
          <w:szCs w:val="24"/>
          <w:lang w:eastAsia="pt-BR"/>
        </w:rPr>
        <w:t xml:space="preserve"> e 227</w:t>
      </w:r>
      <w:r w:rsidR="0044448C">
        <w:rPr>
          <w:rStyle w:val="Refdenotaderodap"/>
          <w:rFonts w:ascii="Times New Roman" w:eastAsia="Times New Roman" w:hAnsi="Times New Roman" w:cs="Times New Roman"/>
          <w:color w:val="000000"/>
          <w:sz w:val="24"/>
          <w:szCs w:val="24"/>
          <w:lang w:eastAsia="pt-BR"/>
        </w:rPr>
        <w:footnoteReference w:id="39"/>
      </w:r>
      <w:r w:rsidRPr="00F55E9E">
        <w:rPr>
          <w:rFonts w:ascii="Times New Roman" w:eastAsia="Times New Roman" w:hAnsi="Times New Roman" w:cs="Times New Roman"/>
          <w:color w:val="000000"/>
          <w:sz w:val="24"/>
          <w:szCs w:val="24"/>
          <w:lang w:eastAsia="pt-BR"/>
        </w:rPr>
        <w:t xml:space="preserve"> do Código Civil.</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5.3 No título XLVI do mesmo livro </w:t>
      </w:r>
      <w:proofErr w:type="gramStart"/>
      <w:r w:rsidRPr="00F55E9E">
        <w:rPr>
          <w:rFonts w:ascii="Times New Roman" w:eastAsia="Times New Roman" w:hAnsi="Times New Roman" w:cs="Times New Roman"/>
          <w:color w:val="000000"/>
          <w:sz w:val="24"/>
          <w:szCs w:val="24"/>
          <w:lang w:eastAsia="pt-BR"/>
        </w:rPr>
        <w:t>tratava-se</w:t>
      </w:r>
      <w:proofErr w:type="gramEnd"/>
      <w:r w:rsidRPr="00F55E9E">
        <w:rPr>
          <w:rFonts w:ascii="Times New Roman" w:eastAsia="Times New Roman" w:hAnsi="Times New Roman" w:cs="Times New Roman"/>
          <w:color w:val="000000"/>
          <w:sz w:val="24"/>
          <w:szCs w:val="24"/>
          <w:lang w:eastAsia="pt-BR"/>
        </w:rPr>
        <w:t xml:space="preserve"> da fé que as escrituras públicas mereciam em juízo.</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Primeiramente o referido título tratava das escrituras públicas que faziam referência a outras escrituras públicas, estabelecendo que aquilo que era dito estar contido nas escrituras públicas referidas não produziam prova alguma, salvo se as escrituras mencionadas tivessem sido apresentadas ou se todas as escrituras tivessem sido feitas pelo mesmo tabelião, sendo tudo isso de difícil compreensão para o intérprete de hoje.</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Depois se estabelecia que nas escrituras públicas referidas em alvarás ou cartas assinadas pelo rei “</w:t>
      </w:r>
      <w:proofErr w:type="spellStart"/>
      <w:r w:rsidRPr="00F55E9E">
        <w:rPr>
          <w:rFonts w:ascii="Times New Roman" w:eastAsia="Times New Roman" w:hAnsi="Times New Roman" w:cs="Times New Roman"/>
          <w:color w:val="000000"/>
          <w:sz w:val="24"/>
          <w:szCs w:val="24"/>
          <w:lang w:eastAsia="pt-BR"/>
        </w:rPr>
        <w:t>nom</w:t>
      </w:r>
      <w:proofErr w:type="spellEnd"/>
      <w:r w:rsidRPr="00F55E9E">
        <w:rPr>
          <w:rFonts w:ascii="Times New Roman" w:eastAsia="Times New Roman" w:hAnsi="Times New Roman" w:cs="Times New Roman"/>
          <w:color w:val="000000"/>
          <w:sz w:val="24"/>
          <w:szCs w:val="24"/>
          <w:lang w:eastAsia="pt-BR"/>
        </w:rPr>
        <w:t xml:space="preserve"> se fará obra por tal alvará ou carta em </w:t>
      </w:r>
      <w:proofErr w:type="spellStart"/>
      <w:r w:rsidRPr="00F55E9E">
        <w:rPr>
          <w:rFonts w:ascii="Times New Roman" w:eastAsia="Times New Roman" w:hAnsi="Times New Roman" w:cs="Times New Roman"/>
          <w:color w:val="000000"/>
          <w:sz w:val="24"/>
          <w:szCs w:val="24"/>
          <w:lang w:eastAsia="pt-BR"/>
        </w:rPr>
        <w:t>perjuizo</w:t>
      </w:r>
      <w:proofErr w:type="spellEnd"/>
      <w:r w:rsidRPr="00F55E9E">
        <w:rPr>
          <w:rFonts w:ascii="Times New Roman" w:eastAsia="Times New Roman" w:hAnsi="Times New Roman" w:cs="Times New Roman"/>
          <w:color w:val="000000"/>
          <w:sz w:val="24"/>
          <w:szCs w:val="24"/>
          <w:lang w:eastAsia="pt-BR"/>
        </w:rPr>
        <w:t xml:space="preserve"> d´outrem (quando </w:t>
      </w:r>
      <w:proofErr w:type="spellStart"/>
      <w:proofErr w:type="gramStart"/>
      <w:r w:rsidRPr="00F55E9E">
        <w:rPr>
          <w:rFonts w:ascii="Times New Roman" w:eastAsia="Times New Roman" w:hAnsi="Times New Roman" w:cs="Times New Roman"/>
          <w:color w:val="000000"/>
          <w:sz w:val="24"/>
          <w:szCs w:val="24"/>
          <w:lang w:eastAsia="pt-BR"/>
        </w:rPr>
        <w:t>he</w:t>
      </w:r>
      <w:proofErr w:type="spellEnd"/>
      <w:proofErr w:type="gramEnd"/>
      <w:r w:rsidRPr="00F55E9E">
        <w:rPr>
          <w:rFonts w:ascii="Times New Roman" w:eastAsia="Times New Roman" w:hAnsi="Times New Roman" w:cs="Times New Roman"/>
          <w:color w:val="000000"/>
          <w:sz w:val="24"/>
          <w:szCs w:val="24"/>
          <w:lang w:eastAsia="pt-BR"/>
        </w:rPr>
        <w:t xml:space="preserve"> por </w:t>
      </w:r>
      <w:proofErr w:type="spellStart"/>
      <w:r w:rsidRPr="00F55E9E">
        <w:rPr>
          <w:rFonts w:ascii="Times New Roman" w:eastAsia="Times New Roman" w:hAnsi="Times New Roman" w:cs="Times New Roman"/>
          <w:color w:val="000000"/>
          <w:sz w:val="24"/>
          <w:szCs w:val="24"/>
          <w:lang w:eastAsia="pt-BR"/>
        </w:rPr>
        <w:t>respecto</w:t>
      </w:r>
      <w:proofErr w:type="spellEnd"/>
      <w:r w:rsidRPr="00F55E9E">
        <w:rPr>
          <w:rFonts w:ascii="Times New Roman" w:eastAsia="Times New Roman" w:hAnsi="Times New Roman" w:cs="Times New Roman"/>
          <w:color w:val="000000"/>
          <w:sz w:val="24"/>
          <w:szCs w:val="24"/>
          <w:lang w:eastAsia="pt-BR"/>
        </w:rPr>
        <w:t xml:space="preserve"> da dita </w:t>
      </w:r>
      <w:proofErr w:type="spellStart"/>
      <w:r w:rsidRPr="00F55E9E">
        <w:rPr>
          <w:rFonts w:ascii="Times New Roman" w:eastAsia="Times New Roman" w:hAnsi="Times New Roman" w:cs="Times New Roman"/>
          <w:color w:val="000000"/>
          <w:sz w:val="24"/>
          <w:szCs w:val="24"/>
          <w:lang w:eastAsia="pt-BR"/>
        </w:rPr>
        <w:t>escriptura</w:t>
      </w:r>
      <w:proofErr w:type="spellEnd"/>
      <w:r w:rsidRPr="00F55E9E">
        <w:rPr>
          <w:rFonts w:ascii="Times New Roman" w:eastAsia="Times New Roman" w:hAnsi="Times New Roman" w:cs="Times New Roman"/>
          <w:color w:val="000000"/>
          <w:sz w:val="24"/>
          <w:szCs w:val="24"/>
          <w:lang w:eastAsia="pt-BR"/>
        </w:rPr>
        <w:t xml:space="preserve"> ou assinado)” sem que se mostrasse o dito assinado ou escritura, o que também não é de fácil compreensão.</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Mas não tinha fé </w:t>
      </w:r>
      <w:proofErr w:type="gramStart"/>
      <w:r w:rsidRPr="00F55E9E">
        <w:rPr>
          <w:rFonts w:ascii="Times New Roman" w:eastAsia="Times New Roman" w:hAnsi="Times New Roman" w:cs="Times New Roman"/>
          <w:color w:val="000000"/>
          <w:sz w:val="24"/>
          <w:szCs w:val="24"/>
          <w:lang w:eastAsia="pt-BR"/>
        </w:rPr>
        <w:t>a</w:t>
      </w:r>
      <w:proofErr w:type="gramEnd"/>
      <w:r w:rsidRPr="00F55E9E">
        <w:rPr>
          <w:rFonts w:ascii="Times New Roman" w:eastAsia="Times New Roman" w:hAnsi="Times New Roman" w:cs="Times New Roman"/>
          <w:color w:val="000000"/>
          <w:sz w:val="24"/>
          <w:szCs w:val="24"/>
          <w:lang w:eastAsia="pt-BR"/>
        </w:rPr>
        <w:t xml:space="preserve"> escritura pública apresentada em juízo que fosse suspeita por ter alguma rasura ou entrelinha ou cancelamento em lugar suspeito, bem como por ter sido lavrada por tabelião suspeito (em razão de já ter sido </w:t>
      </w:r>
      <w:r w:rsidRPr="00F55E9E">
        <w:rPr>
          <w:rFonts w:ascii="Times New Roman" w:eastAsia="Times New Roman" w:hAnsi="Times New Roman" w:cs="Times New Roman"/>
          <w:color w:val="000000"/>
          <w:sz w:val="24"/>
          <w:szCs w:val="24"/>
          <w:lang w:eastAsia="pt-BR"/>
        </w:rPr>
        <w:lastRenderedPageBreak/>
        <w:t>encontrado em alguma falsidade) ou por ter sido apresentada por pessoa suspeita, salvo se fosse corroborada pelas testemunhas nela indicadas ou, se estas já tivessem falecido ou fossem ausentas, por outras quaisquer testemunhas ou escrituras dignas de fé, ficando sujeita às penas de falsário a parte que apresentasse a escritura sem a posterior corroboração</w:t>
      </w:r>
      <w:r w:rsidR="0044448C">
        <w:rPr>
          <w:rStyle w:val="Refdenotaderodap"/>
          <w:rFonts w:ascii="Times New Roman" w:eastAsia="Times New Roman" w:hAnsi="Times New Roman" w:cs="Times New Roman"/>
          <w:color w:val="000000"/>
          <w:sz w:val="24"/>
          <w:szCs w:val="24"/>
          <w:lang w:eastAsia="pt-BR"/>
        </w:rPr>
        <w:footnoteReference w:id="40"/>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Se algum instrumento (públicos e privados ou só públicos?) fosse apresentado em juízo e posteriormente a parte dissesse que não mais queria usá-lo, então o referido documento devia ser considerado falso, ficando a parte sujeita à pena prevista no livro </w:t>
      </w:r>
      <w:proofErr w:type="gramStart"/>
      <w:r w:rsidRPr="00F55E9E">
        <w:rPr>
          <w:rFonts w:ascii="Times New Roman" w:eastAsia="Times New Roman" w:hAnsi="Times New Roman" w:cs="Times New Roman"/>
          <w:color w:val="000000"/>
          <w:sz w:val="24"/>
          <w:szCs w:val="24"/>
          <w:lang w:eastAsia="pt-BR"/>
        </w:rPr>
        <w:t>5</w:t>
      </w:r>
      <w:proofErr w:type="gramEnd"/>
      <w:r w:rsidRPr="00F55E9E">
        <w:rPr>
          <w:rFonts w:ascii="Times New Roman" w:eastAsia="Times New Roman" w:hAnsi="Times New Roman" w:cs="Times New Roman"/>
          <w:color w:val="000000"/>
          <w:sz w:val="24"/>
          <w:szCs w:val="24"/>
          <w:lang w:eastAsia="pt-BR"/>
        </w:rPr>
        <w:t>, como se verá mais abaixo, o que não encontra correspondência no direito de hoje.</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Se acusasse um instrumento ou escritura pública de falsidade (obs.: ao distinguir o instrumento da escritura parece que as ordenações estavam dizendo que os primeiros eram os documentos privados), a parte devia assinar um termo aceitando submeter-se às penas que a parte contrária estava sujeita se a falsidade fosse provada; assinado esse termo, a parte devia declarar qual era a falsidade e como iria prová-la; aí o juiz mandava chamar o tabelião que lavrou a escritura e as testemunhas nela indicadas, devendo imediatamente prender “aquele contra quem a </w:t>
      </w:r>
      <w:proofErr w:type="spellStart"/>
      <w:r w:rsidRPr="00F55E9E">
        <w:rPr>
          <w:rFonts w:ascii="Times New Roman" w:eastAsia="Times New Roman" w:hAnsi="Times New Roman" w:cs="Times New Roman"/>
          <w:color w:val="000000"/>
          <w:sz w:val="24"/>
          <w:szCs w:val="24"/>
          <w:lang w:eastAsia="pt-BR"/>
        </w:rPr>
        <w:t>presumpçam</w:t>
      </w:r>
      <w:proofErr w:type="spellEnd"/>
      <w:r w:rsidRPr="00F55E9E">
        <w:rPr>
          <w:rFonts w:ascii="Times New Roman" w:eastAsia="Times New Roman" w:hAnsi="Times New Roman" w:cs="Times New Roman"/>
          <w:color w:val="000000"/>
          <w:sz w:val="24"/>
          <w:szCs w:val="24"/>
          <w:lang w:eastAsia="pt-BR"/>
        </w:rPr>
        <w:t xml:space="preserve"> achar, e </w:t>
      </w:r>
      <w:proofErr w:type="spellStart"/>
      <w:r w:rsidRPr="00F55E9E">
        <w:rPr>
          <w:rFonts w:ascii="Times New Roman" w:eastAsia="Times New Roman" w:hAnsi="Times New Roman" w:cs="Times New Roman"/>
          <w:color w:val="000000"/>
          <w:sz w:val="24"/>
          <w:szCs w:val="24"/>
          <w:lang w:eastAsia="pt-BR"/>
        </w:rPr>
        <w:t>nom</w:t>
      </w:r>
      <w:proofErr w:type="spellEnd"/>
      <w:r w:rsidRPr="00F55E9E">
        <w:rPr>
          <w:rFonts w:ascii="Times New Roman" w:eastAsia="Times New Roman" w:hAnsi="Times New Roman" w:cs="Times New Roman"/>
          <w:color w:val="000000"/>
          <w:sz w:val="24"/>
          <w:szCs w:val="24"/>
          <w:lang w:eastAsia="pt-BR"/>
        </w:rPr>
        <w:t xml:space="preserve"> seja solto </w:t>
      </w:r>
      <w:proofErr w:type="spellStart"/>
      <w:r w:rsidRPr="00F55E9E">
        <w:rPr>
          <w:rFonts w:ascii="Times New Roman" w:eastAsia="Times New Roman" w:hAnsi="Times New Roman" w:cs="Times New Roman"/>
          <w:color w:val="000000"/>
          <w:sz w:val="24"/>
          <w:szCs w:val="24"/>
          <w:lang w:eastAsia="pt-BR"/>
        </w:rPr>
        <w:t>atee</w:t>
      </w:r>
      <w:proofErr w:type="spellEnd"/>
      <w:r w:rsidRPr="00F55E9E">
        <w:rPr>
          <w:rFonts w:ascii="Times New Roman" w:eastAsia="Times New Roman" w:hAnsi="Times New Roman" w:cs="Times New Roman"/>
          <w:color w:val="000000"/>
          <w:sz w:val="24"/>
          <w:szCs w:val="24"/>
          <w:lang w:eastAsia="pt-BR"/>
        </w:rPr>
        <w:t xml:space="preserve"> o feito </w:t>
      </w:r>
      <w:proofErr w:type="spellStart"/>
      <w:r w:rsidRPr="00F55E9E">
        <w:rPr>
          <w:rFonts w:ascii="Times New Roman" w:eastAsia="Times New Roman" w:hAnsi="Times New Roman" w:cs="Times New Roman"/>
          <w:color w:val="000000"/>
          <w:sz w:val="24"/>
          <w:szCs w:val="24"/>
          <w:lang w:eastAsia="pt-BR"/>
        </w:rPr>
        <w:t>seer</w:t>
      </w:r>
      <w:proofErr w:type="spellEnd"/>
      <w:r w:rsidRPr="00F55E9E">
        <w:rPr>
          <w:rFonts w:ascii="Times New Roman" w:eastAsia="Times New Roman" w:hAnsi="Times New Roman" w:cs="Times New Roman"/>
          <w:color w:val="000000"/>
          <w:sz w:val="24"/>
          <w:szCs w:val="24"/>
          <w:lang w:eastAsia="pt-BR"/>
        </w:rPr>
        <w:t xml:space="preserve"> por direito determinado”, parecendo que as ordenações mandavam prender imediatamente aquele que o juiz julgasse suspeito de falsidade até o julgamento final do processo, o que hoje não se admite mais, pois, salvo as hipóteses de prisão em flagrante, preventiva ou temporária, a prisão no Brasil depende do trânsito em julgado da sentença penal condenatória</w:t>
      </w:r>
      <w:r w:rsidR="0044448C">
        <w:rPr>
          <w:rStyle w:val="Refdenotaderodap"/>
          <w:rFonts w:ascii="Times New Roman" w:eastAsia="Times New Roman" w:hAnsi="Times New Roman" w:cs="Times New Roman"/>
          <w:color w:val="000000"/>
          <w:sz w:val="24"/>
          <w:szCs w:val="24"/>
          <w:lang w:eastAsia="pt-BR"/>
        </w:rPr>
        <w:footnoteReference w:id="41"/>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Se a parte alegasse ter perdido a escritura pública, o Chanceler-Mor do rei passava uma carta autorizando a entrega de um novo traslado à </w:t>
      </w:r>
      <w:r w:rsidRPr="00F55E9E">
        <w:rPr>
          <w:rFonts w:ascii="Times New Roman" w:eastAsia="Times New Roman" w:hAnsi="Times New Roman" w:cs="Times New Roman"/>
          <w:color w:val="000000"/>
          <w:sz w:val="24"/>
          <w:szCs w:val="24"/>
          <w:lang w:eastAsia="pt-BR"/>
        </w:rPr>
        <w:lastRenderedPageBreak/>
        <w:t xml:space="preserve">parte, “o qual se lhe dará com salva (ressalva?) e presente a parte”, não se entendendo o motivo da obrigatoriedade da presença da parte e já se tendo comentado no item 3.1 supra as restrições que as ordenações </w:t>
      </w:r>
      <w:proofErr w:type="spellStart"/>
      <w:r w:rsidRPr="00F55E9E">
        <w:rPr>
          <w:rFonts w:ascii="Times New Roman" w:eastAsia="Times New Roman" w:hAnsi="Times New Roman" w:cs="Times New Roman"/>
          <w:color w:val="000000"/>
          <w:sz w:val="24"/>
          <w:szCs w:val="24"/>
          <w:lang w:eastAsia="pt-BR"/>
        </w:rPr>
        <w:t>manoelinas</w:t>
      </w:r>
      <w:proofErr w:type="spellEnd"/>
      <w:r w:rsidRPr="00F55E9E">
        <w:rPr>
          <w:rFonts w:ascii="Times New Roman" w:eastAsia="Times New Roman" w:hAnsi="Times New Roman" w:cs="Times New Roman"/>
          <w:color w:val="000000"/>
          <w:sz w:val="24"/>
          <w:szCs w:val="24"/>
          <w:lang w:eastAsia="pt-BR"/>
        </w:rPr>
        <w:t xml:space="preserve"> estabeleciam para a concessão de um segundo traslado; se perdida a escritura e perdida também a nota, ou seja, o livro do tabelião, a parte podia provar o teor da escritura com testemunhas.</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A escritura pública fosse contraditória ou as escrituras contraditórias entre si não mereciam fé, salvo “podendo a dita contrariedade </w:t>
      </w:r>
      <w:proofErr w:type="spellStart"/>
      <w:r w:rsidRPr="00F55E9E">
        <w:rPr>
          <w:rFonts w:ascii="Times New Roman" w:eastAsia="Times New Roman" w:hAnsi="Times New Roman" w:cs="Times New Roman"/>
          <w:color w:val="000000"/>
          <w:sz w:val="24"/>
          <w:szCs w:val="24"/>
          <w:lang w:eastAsia="pt-BR"/>
        </w:rPr>
        <w:t>seer</w:t>
      </w:r>
      <w:proofErr w:type="spellEnd"/>
      <w:r w:rsidRPr="00F55E9E">
        <w:rPr>
          <w:rFonts w:ascii="Times New Roman" w:eastAsia="Times New Roman" w:hAnsi="Times New Roman" w:cs="Times New Roman"/>
          <w:color w:val="000000"/>
          <w:sz w:val="24"/>
          <w:szCs w:val="24"/>
          <w:lang w:eastAsia="pt-BR"/>
        </w:rPr>
        <w:t xml:space="preserve"> ajudada por </w:t>
      </w:r>
      <w:proofErr w:type="spellStart"/>
      <w:r w:rsidRPr="00F55E9E">
        <w:rPr>
          <w:rFonts w:ascii="Times New Roman" w:eastAsia="Times New Roman" w:hAnsi="Times New Roman" w:cs="Times New Roman"/>
          <w:color w:val="000000"/>
          <w:sz w:val="24"/>
          <w:szCs w:val="24"/>
          <w:lang w:eastAsia="pt-BR"/>
        </w:rPr>
        <w:t>algua</w:t>
      </w:r>
      <w:proofErr w:type="spellEnd"/>
      <w:r w:rsidRPr="00F55E9E">
        <w:rPr>
          <w:rFonts w:ascii="Times New Roman" w:eastAsia="Times New Roman" w:hAnsi="Times New Roman" w:cs="Times New Roman"/>
          <w:color w:val="000000"/>
          <w:sz w:val="24"/>
          <w:szCs w:val="24"/>
          <w:lang w:eastAsia="pt-BR"/>
        </w:rPr>
        <w:t xml:space="preserve"> </w:t>
      </w:r>
      <w:proofErr w:type="spellStart"/>
      <w:r w:rsidRPr="00F55E9E">
        <w:rPr>
          <w:rFonts w:ascii="Times New Roman" w:eastAsia="Times New Roman" w:hAnsi="Times New Roman" w:cs="Times New Roman"/>
          <w:color w:val="000000"/>
          <w:sz w:val="24"/>
          <w:szCs w:val="24"/>
          <w:lang w:eastAsia="pt-BR"/>
        </w:rPr>
        <w:t>distinçam</w:t>
      </w:r>
      <w:proofErr w:type="spellEnd"/>
      <w:r w:rsidRPr="00F55E9E">
        <w:rPr>
          <w:rFonts w:ascii="Times New Roman" w:eastAsia="Times New Roman" w:hAnsi="Times New Roman" w:cs="Times New Roman"/>
          <w:color w:val="000000"/>
          <w:sz w:val="24"/>
          <w:szCs w:val="24"/>
          <w:lang w:eastAsia="pt-BR"/>
        </w:rPr>
        <w:t xml:space="preserve"> razoada”, ou seja, se houvesse alguma prova que sanasse a contradição.</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6.1 O Título I do Livro IV continha uma extensa regulamentação da conversão das diversas moedas que existiram no Reino de Portugal, estabelecendo-se que após as ordenações em análise todo e qualquer contrato devia ser feito na moeda corrente ou em ouro ou em prata,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o respectivo tabelião perder o ofício.</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6.2 No Título III desse livro </w:t>
      </w:r>
      <w:proofErr w:type="gramStart"/>
      <w:r w:rsidRPr="00F55E9E">
        <w:rPr>
          <w:rFonts w:ascii="Times New Roman" w:eastAsia="Times New Roman" w:hAnsi="Times New Roman" w:cs="Times New Roman"/>
          <w:color w:val="000000"/>
          <w:sz w:val="24"/>
          <w:szCs w:val="24"/>
          <w:lang w:eastAsia="pt-BR"/>
        </w:rPr>
        <w:t>proibia-se</w:t>
      </w:r>
      <w:proofErr w:type="gramEnd"/>
      <w:r w:rsidRPr="00F55E9E">
        <w:rPr>
          <w:rFonts w:ascii="Times New Roman" w:eastAsia="Times New Roman" w:hAnsi="Times New Roman" w:cs="Times New Roman"/>
          <w:color w:val="000000"/>
          <w:sz w:val="24"/>
          <w:szCs w:val="24"/>
          <w:lang w:eastAsia="pt-BR"/>
        </w:rPr>
        <w:t xml:space="preserve"> os juramentos nos contratos, o que era provavelmente inspirado pela proibição bíblica, cominando-se a pena de nulidade do contrato e a perda de tudo o que a parte tivesse dado para cumprir a avença, ficando o tabelião sujeito a pagar essa mesma quantia, bem como a perder o ofício.</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6.3 No Título </w:t>
      </w:r>
      <w:proofErr w:type="gramStart"/>
      <w:r w:rsidRPr="00F55E9E">
        <w:rPr>
          <w:rFonts w:ascii="Times New Roman" w:eastAsia="Times New Roman" w:hAnsi="Times New Roman" w:cs="Times New Roman"/>
          <w:color w:val="000000"/>
          <w:sz w:val="24"/>
          <w:szCs w:val="24"/>
          <w:lang w:eastAsia="pt-BR"/>
        </w:rPr>
        <w:t>VI</w:t>
      </w:r>
      <w:proofErr w:type="gramEnd"/>
      <w:r w:rsidRPr="00F55E9E">
        <w:rPr>
          <w:rFonts w:ascii="Times New Roman" w:eastAsia="Times New Roman" w:hAnsi="Times New Roman" w:cs="Times New Roman"/>
          <w:color w:val="000000"/>
          <w:sz w:val="24"/>
          <w:szCs w:val="24"/>
          <w:lang w:eastAsia="pt-BR"/>
        </w:rPr>
        <w:t xml:space="preserve"> seguinte impunha-se a outorga uxória como requisito de validade de qualquer alienação de bem de raiz do marido, assim como no Título XIII previa-se que a fiança dada sem a anuência da esposa atingia apenas os bens do marido, o que são nítidas medidas protetivas da mulher e impeditivas da dilapidação do patrimônio familiar pelo marido, constando regras semelhantes até hoje no direito positivo nacional</w:t>
      </w:r>
      <w:r w:rsidR="0044448C">
        <w:rPr>
          <w:rStyle w:val="Refdenotaderodap"/>
          <w:rFonts w:ascii="Times New Roman" w:eastAsia="Times New Roman" w:hAnsi="Times New Roman" w:cs="Times New Roman"/>
          <w:color w:val="000000"/>
          <w:sz w:val="24"/>
          <w:szCs w:val="24"/>
          <w:lang w:eastAsia="pt-BR"/>
        </w:rPr>
        <w:footnoteReference w:id="42"/>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proofErr w:type="gramStart"/>
      <w:r w:rsidRPr="00F55E9E">
        <w:rPr>
          <w:rFonts w:ascii="Times New Roman" w:eastAsia="Times New Roman" w:hAnsi="Times New Roman" w:cs="Times New Roman"/>
          <w:color w:val="000000"/>
          <w:sz w:val="24"/>
          <w:szCs w:val="24"/>
          <w:lang w:eastAsia="pt-BR"/>
        </w:rPr>
        <w:t>6.4 Outra</w:t>
      </w:r>
      <w:proofErr w:type="gramEnd"/>
      <w:r w:rsidRPr="00F55E9E">
        <w:rPr>
          <w:rFonts w:ascii="Times New Roman" w:eastAsia="Times New Roman" w:hAnsi="Times New Roman" w:cs="Times New Roman"/>
          <w:color w:val="000000"/>
          <w:sz w:val="24"/>
          <w:szCs w:val="24"/>
          <w:lang w:eastAsia="pt-BR"/>
        </w:rPr>
        <w:t xml:space="preserve"> medida protetiva da mulher encontrava-se no Título VIII, que fulminava de nulidade a doação do marido a sua amante (barregã), passando a coisa doada a pertencer exclusivamente à esposa e perdendo o marido infiel </w:t>
      </w:r>
      <w:r w:rsidRPr="00F55E9E">
        <w:rPr>
          <w:rFonts w:ascii="Times New Roman" w:eastAsia="Times New Roman" w:hAnsi="Times New Roman" w:cs="Times New Roman"/>
          <w:color w:val="000000"/>
          <w:sz w:val="24"/>
          <w:szCs w:val="24"/>
          <w:lang w:eastAsia="pt-BR"/>
        </w:rPr>
        <w:lastRenderedPageBreak/>
        <w:t>o direito que tivesse sobre essa coisa, sendo provavelmente o antecedente histórico do artigo 1642, inciso V, do atual Código Civil</w:t>
      </w:r>
      <w:r w:rsidR="0044448C">
        <w:rPr>
          <w:rStyle w:val="Refdenotaderodap"/>
          <w:rFonts w:ascii="Times New Roman" w:eastAsia="Times New Roman" w:hAnsi="Times New Roman" w:cs="Times New Roman"/>
          <w:color w:val="000000"/>
          <w:sz w:val="24"/>
          <w:szCs w:val="24"/>
          <w:lang w:eastAsia="pt-BR"/>
        </w:rPr>
        <w:footnoteReference w:id="43"/>
      </w:r>
      <w:r w:rsidRPr="00F55E9E">
        <w:rPr>
          <w:rFonts w:ascii="Times New Roman" w:eastAsia="Times New Roman" w:hAnsi="Times New Roman" w:cs="Times New Roman"/>
          <w:color w:val="000000"/>
          <w:sz w:val="24"/>
          <w:szCs w:val="24"/>
          <w:lang w:eastAsia="pt-BR"/>
        </w:rPr>
        <w:t>.</w:t>
      </w:r>
    </w:p>
    <w:p w:rsidR="0044448C" w:rsidRPr="00F55E9E" w:rsidRDefault="0044448C" w:rsidP="000C435B">
      <w:pPr>
        <w:spacing w:after="0" w:line="360" w:lineRule="auto"/>
        <w:jc w:val="both"/>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6.5 O Título XXXVI do livro em análise previa que, nos contratos que dependessem da escritura pública para valer ou em que as partes combinassem que só valeriam se feitos por escritura pública, </w:t>
      </w:r>
      <w:proofErr w:type="gramStart"/>
      <w:r w:rsidRPr="00F55E9E">
        <w:rPr>
          <w:rFonts w:ascii="Times New Roman" w:eastAsia="Times New Roman" w:hAnsi="Times New Roman" w:cs="Times New Roman"/>
          <w:color w:val="000000"/>
          <w:sz w:val="24"/>
          <w:szCs w:val="24"/>
          <w:lang w:eastAsia="pt-BR"/>
        </w:rPr>
        <w:t>a</w:t>
      </w:r>
      <w:proofErr w:type="gramEnd"/>
      <w:r w:rsidRPr="00F55E9E">
        <w:rPr>
          <w:rFonts w:ascii="Times New Roman" w:eastAsia="Times New Roman" w:hAnsi="Times New Roman" w:cs="Times New Roman"/>
          <w:color w:val="000000"/>
          <w:sz w:val="24"/>
          <w:szCs w:val="24"/>
          <w:lang w:eastAsia="pt-BR"/>
        </w:rPr>
        <w:t xml:space="preserve"> parte podia se arrepender a qualquer momento antes da assinatura do instrumento público, sendo esse o antecedente histórico do artigo 1088 do Código Civil de 1916</w:t>
      </w:r>
      <w:r w:rsidR="0044448C">
        <w:rPr>
          <w:rStyle w:val="Refdenotaderodap"/>
          <w:rFonts w:ascii="Times New Roman" w:eastAsia="Times New Roman" w:hAnsi="Times New Roman" w:cs="Times New Roman"/>
          <w:color w:val="000000"/>
          <w:sz w:val="24"/>
          <w:szCs w:val="24"/>
          <w:lang w:eastAsia="pt-BR"/>
        </w:rPr>
        <w:footnoteReference w:id="44"/>
      </w:r>
      <w:r w:rsidRPr="00F55E9E">
        <w:rPr>
          <w:rFonts w:ascii="Times New Roman" w:eastAsia="Times New Roman" w:hAnsi="Times New Roman" w:cs="Times New Roman"/>
          <w:color w:val="000000"/>
          <w:sz w:val="24"/>
          <w:szCs w:val="24"/>
          <w:lang w:eastAsia="pt-BR"/>
        </w:rPr>
        <w:t>.</w:t>
      </w:r>
    </w:p>
    <w:p w:rsidR="0044448C" w:rsidRDefault="0044448C"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6.6 No Título LI repetia-se a lei de Dom João I do século XV que mandou que os tabeliães, </w:t>
      </w:r>
      <w:proofErr w:type="gramStart"/>
      <w:r w:rsidRPr="00F55E9E">
        <w:rPr>
          <w:rFonts w:ascii="Times New Roman" w:eastAsia="Times New Roman" w:hAnsi="Times New Roman" w:cs="Times New Roman"/>
          <w:color w:val="000000"/>
          <w:sz w:val="24"/>
          <w:szCs w:val="24"/>
          <w:lang w:eastAsia="pt-BR"/>
        </w:rPr>
        <w:t>sob pena</w:t>
      </w:r>
      <w:proofErr w:type="gramEnd"/>
      <w:r w:rsidRPr="00F55E9E">
        <w:rPr>
          <w:rFonts w:ascii="Times New Roman" w:eastAsia="Times New Roman" w:hAnsi="Times New Roman" w:cs="Times New Roman"/>
          <w:color w:val="000000"/>
          <w:sz w:val="24"/>
          <w:szCs w:val="24"/>
          <w:lang w:eastAsia="pt-BR"/>
        </w:rPr>
        <w:t xml:space="preserve"> de perda de seus ofícios, indicassem a data conforme a era de Jesus Cristo e não mais conforme a era de César, havendo hoje apenas a obrigação de declarar na escritura a data de sua lavratura</w:t>
      </w:r>
      <w:r w:rsidR="0044448C">
        <w:rPr>
          <w:rStyle w:val="Refdenotaderodap"/>
          <w:rFonts w:ascii="Times New Roman" w:eastAsia="Times New Roman" w:hAnsi="Times New Roman" w:cs="Times New Roman"/>
          <w:color w:val="000000"/>
          <w:sz w:val="24"/>
          <w:szCs w:val="24"/>
          <w:lang w:eastAsia="pt-BR"/>
        </w:rPr>
        <w:footnoteReference w:id="45"/>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Default="00F55E9E" w:rsidP="000C435B">
      <w:pPr>
        <w:spacing w:after="0" w:line="360" w:lineRule="auto"/>
        <w:jc w:val="both"/>
        <w:rPr>
          <w:rFonts w:ascii="Times New Roman" w:eastAsia="Times New Roman" w:hAnsi="Times New Roman" w:cs="Times New Roman"/>
          <w:color w:val="000000"/>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6.7 O Título LXVII tratava das sesmarias, que viriam a ter muita importância na história do direito imobiliário brasileiro, que nada mais era do que uma espécie de reforma agrária: aquele que quisesse cultivar uma terra ociosa devia citar seu proprietário para que explicasse os motivos de a terra não ser aproveitada; se os motivos alegados fossem considerados justos, a questão era encerrada; se não, fixava-se prazo para o proprietário aproveitar a terra, findo o qual, se permanecesse sem aproveitamento, a</w:t>
      </w:r>
      <w:proofErr w:type="gramStart"/>
      <w:r w:rsidRPr="00F55E9E">
        <w:rPr>
          <w:rFonts w:ascii="Times New Roman" w:eastAsia="Times New Roman" w:hAnsi="Times New Roman" w:cs="Times New Roman"/>
          <w:color w:val="000000"/>
          <w:sz w:val="24"/>
          <w:szCs w:val="24"/>
          <w:lang w:eastAsia="pt-BR"/>
        </w:rPr>
        <w:t xml:space="preserve">  </w:t>
      </w:r>
      <w:proofErr w:type="gramEnd"/>
      <w:r w:rsidRPr="00F55E9E">
        <w:rPr>
          <w:rFonts w:ascii="Times New Roman" w:eastAsia="Times New Roman" w:hAnsi="Times New Roman" w:cs="Times New Roman"/>
          <w:color w:val="000000"/>
          <w:sz w:val="24"/>
          <w:szCs w:val="24"/>
          <w:lang w:eastAsia="pt-BR"/>
        </w:rPr>
        <w:t>terra era dada em sesmaria ao interessado em lavrá-la.</w:t>
      </w: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lastRenderedPageBreak/>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6.8 E, encerrando o livro IV, o Título XCII estabelecia que a validade da </w:t>
      </w:r>
      <w:proofErr w:type="gramStart"/>
      <w:r w:rsidRPr="00F55E9E">
        <w:rPr>
          <w:rFonts w:ascii="Times New Roman" w:eastAsia="Times New Roman" w:hAnsi="Times New Roman" w:cs="Times New Roman"/>
          <w:color w:val="000000"/>
          <w:sz w:val="24"/>
          <w:szCs w:val="24"/>
          <w:lang w:eastAsia="pt-BR"/>
        </w:rPr>
        <w:t>venda</w:t>
      </w:r>
      <w:proofErr w:type="gramEnd"/>
      <w:r w:rsidRPr="00F55E9E">
        <w:rPr>
          <w:rFonts w:ascii="Times New Roman" w:eastAsia="Times New Roman" w:hAnsi="Times New Roman" w:cs="Times New Roman"/>
          <w:color w:val="000000"/>
          <w:sz w:val="24"/>
          <w:szCs w:val="24"/>
          <w:lang w:eastAsia="pt-BR"/>
        </w:rPr>
        <w:t xml:space="preserve"> para descendente dependia do consentimento dos demais descendentes, havendo hoje no Código Civil disposição de conteúdo idêntico</w:t>
      </w:r>
      <w:r w:rsidR="0044448C">
        <w:rPr>
          <w:rStyle w:val="Refdenotaderodap"/>
          <w:rFonts w:ascii="Times New Roman" w:eastAsia="Times New Roman" w:hAnsi="Times New Roman" w:cs="Times New Roman"/>
          <w:color w:val="000000"/>
          <w:sz w:val="24"/>
          <w:szCs w:val="24"/>
          <w:lang w:eastAsia="pt-BR"/>
        </w:rPr>
        <w:footnoteReference w:id="46"/>
      </w:r>
      <w:r w:rsidRPr="00F55E9E">
        <w:rPr>
          <w:rFonts w:ascii="Times New Roman" w:eastAsia="Times New Roman" w:hAnsi="Times New Roman" w:cs="Times New Roman"/>
          <w:color w:val="000000"/>
          <w:sz w:val="24"/>
          <w:szCs w:val="24"/>
          <w:lang w:eastAsia="pt-BR"/>
        </w:rPr>
        <w:t>.</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7.1 O Título VII do Livro V previa a pena de morte a todo aquele que falsificasse o sinal ou o selo do rei, assim como para aquele que fizesse mudanças ou acréscimos a qualquer carta ou alvará do rei.</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w:t>
      </w:r>
      <w:proofErr w:type="gramStart"/>
      <w:r w:rsidRPr="00F55E9E">
        <w:rPr>
          <w:rFonts w:ascii="Times New Roman" w:eastAsia="Times New Roman" w:hAnsi="Times New Roman" w:cs="Times New Roman"/>
          <w:color w:val="000000"/>
          <w:sz w:val="24"/>
          <w:szCs w:val="24"/>
          <w:lang w:eastAsia="pt-BR"/>
        </w:rPr>
        <w:t>1</w:t>
      </w:r>
      <w:proofErr w:type="gramEnd"/>
      <w:r w:rsidRPr="00F55E9E">
        <w:rPr>
          <w:rFonts w:ascii="Times New Roman" w:eastAsia="Times New Roman" w:hAnsi="Times New Roman" w:cs="Times New Roman"/>
          <w:color w:val="000000"/>
          <w:sz w:val="24"/>
          <w:szCs w:val="24"/>
          <w:lang w:eastAsia="pt-BR"/>
        </w:rPr>
        <w:t xml:space="preserve"> desse título previa a pena de degredo perpétuo para a Ilha de São Tomé ao escrivão que maliciosamente deixasse de colocar toda a substância das escrituras a serem assinadas pelo rei em suas subscrições, parecendo que aqui “subscrições” seriam uma espécie de ementa ou resumo do ato necessária para que o rei não tivesse que fazer a leitura integral de todos os documentos submetidos a sua assinatura.</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w:t>
      </w:r>
      <w:proofErr w:type="gramStart"/>
      <w:r w:rsidRPr="00F55E9E">
        <w:rPr>
          <w:rFonts w:ascii="Times New Roman" w:eastAsia="Times New Roman" w:hAnsi="Times New Roman" w:cs="Times New Roman"/>
          <w:color w:val="000000"/>
          <w:sz w:val="24"/>
          <w:szCs w:val="24"/>
          <w:lang w:eastAsia="pt-BR"/>
        </w:rPr>
        <w:t>2</w:t>
      </w:r>
      <w:proofErr w:type="gramEnd"/>
      <w:r w:rsidRPr="00F55E9E">
        <w:rPr>
          <w:rFonts w:ascii="Times New Roman" w:eastAsia="Times New Roman" w:hAnsi="Times New Roman" w:cs="Times New Roman"/>
          <w:color w:val="000000"/>
          <w:sz w:val="24"/>
          <w:szCs w:val="24"/>
          <w:lang w:eastAsia="pt-BR"/>
        </w:rPr>
        <w:t xml:space="preserve"> previa a pena de degredo perpétuo para a Ilha de São Tomé para aquele que falsificasse o sinal ou o selo de qualquer autoridade do reino, inclusive dos tabeliães, bem como alterasse ou acrescentasse qualquer documento público.</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w:t>
      </w:r>
      <w:proofErr w:type="gramStart"/>
      <w:r w:rsidRPr="00F55E9E">
        <w:rPr>
          <w:rFonts w:ascii="Times New Roman" w:eastAsia="Times New Roman" w:hAnsi="Times New Roman" w:cs="Times New Roman"/>
          <w:color w:val="000000"/>
          <w:sz w:val="24"/>
          <w:szCs w:val="24"/>
          <w:lang w:eastAsia="pt-BR"/>
        </w:rPr>
        <w:t>4</w:t>
      </w:r>
      <w:proofErr w:type="gramEnd"/>
      <w:r w:rsidRPr="00F55E9E">
        <w:rPr>
          <w:rFonts w:ascii="Times New Roman" w:eastAsia="Times New Roman" w:hAnsi="Times New Roman" w:cs="Times New Roman"/>
          <w:color w:val="000000"/>
          <w:sz w:val="24"/>
          <w:szCs w:val="24"/>
          <w:lang w:eastAsia="pt-BR"/>
        </w:rPr>
        <w:t xml:space="preserve"> estabelecia a pena de morte ao tabelião que fizesse escritura falsa.</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O item </w:t>
      </w:r>
      <w:proofErr w:type="gramStart"/>
      <w:r w:rsidRPr="00F55E9E">
        <w:rPr>
          <w:rFonts w:ascii="Times New Roman" w:eastAsia="Times New Roman" w:hAnsi="Times New Roman" w:cs="Times New Roman"/>
          <w:color w:val="000000"/>
          <w:sz w:val="24"/>
          <w:szCs w:val="24"/>
          <w:lang w:eastAsia="pt-BR"/>
        </w:rPr>
        <w:t>5</w:t>
      </w:r>
      <w:proofErr w:type="gramEnd"/>
      <w:r w:rsidRPr="00F55E9E">
        <w:rPr>
          <w:rFonts w:ascii="Times New Roman" w:eastAsia="Times New Roman" w:hAnsi="Times New Roman" w:cs="Times New Roman"/>
          <w:color w:val="000000"/>
          <w:sz w:val="24"/>
          <w:szCs w:val="24"/>
          <w:lang w:eastAsia="pt-BR"/>
        </w:rPr>
        <w:t xml:space="preserve"> previa a pena de morte para aquele que ordenasse que algum tabelião fizesse uma escritura falsa acima de um dado valor, bem como a pena de degredo perpétuo para a Ilha de São Tomé nos casos de escritura abaixo desse valor, incorrendo nas mesmas penas as testemunhas que soubessem da falsidade.</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7.2. O título IX do referido livro previa que aquele que conscientemente apresentasse escritura falsa em processo judicial devia ser degredado para Ceuta</w:t>
      </w:r>
      <w:r w:rsidR="0044448C">
        <w:rPr>
          <w:rStyle w:val="Refdenotaderodap"/>
          <w:rFonts w:ascii="Times New Roman" w:eastAsia="Times New Roman" w:hAnsi="Times New Roman" w:cs="Times New Roman"/>
          <w:color w:val="000000"/>
          <w:sz w:val="24"/>
          <w:szCs w:val="24"/>
          <w:lang w:eastAsia="pt-BR"/>
        </w:rPr>
        <w:footnoteReference w:id="47"/>
      </w:r>
      <w:r w:rsidRPr="00F55E9E">
        <w:rPr>
          <w:rFonts w:ascii="Times New Roman" w:eastAsia="Times New Roman" w:hAnsi="Times New Roman" w:cs="Times New Roman"/>
          <w:color w:val="000000"/>
          <w:sz w:val="24"/>
          <w:szCs w:val="24"/>
          <w:lang w:eastAsia="pt-BR"/>
        </w:rPr>
        <w:t>, não lhe servindo nada a posterior renúncia à escritura.</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 xml:space="preserve">7.3 Por fim, o título LIX estabelecia que o tabelião que cobrasse mais do que o previsto no respectivo regimento devia perder o ofício e cumprir </w:t>
      </w:r>
      <w:r w:rsidRPr="00F55E9E">
        <w:rPr>
          <w:rFonts w:ascii="Times New Roman" w:eastAsia="Times New Roman" w:hAnsi="Times New Roman" w:cs="Times New Roman"/>
          <w:color w:val="000000"/>
          <w:sz w:val="24"/>
          <w:szCs w:val="24"/>
          <w:lang w:eastAsia="pt-BR"/>
        </w:rPr>
        <w:lastRenderedPageBreak/>
        <w:t>pena de degredo por tempo que variava conforme o montante cobrado a mais, já tendo sido comentado no item 3.1 acima a obrigatoriedade que ainda hoje existe no Brasil de os tabeliães cobrarem apenas o previsto nas tabelas fixadas pela autoridade competente.</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8. Em conclusão, cabe dizer que estudar a história do direito permite enxergar o fenômeno jurídico nas suas duas vertentes: a cultural e a natural.</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Quando se examina um diploma jurídico de outros tempos percebe-se que significativa parte do direito é imutável, independente do direito positivo, estando ao alcance de qualquer homem que aplique sua inteligência à procura do justo que se encontra gravado na realidade.</w:t>
      </w: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Contudo, percebe-se também que esse direito que se encontra gravado na natureza não esgota totalmente o fenômeno jurídico, carecendo no mais das vezes da determinação que o direito positivo confere.</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0C435B">
        <w:rPr>
          <w:rFonts w:ascii="Times New Roman" w:eastAsia="Times New Roman" w:hAnsi="Times New Roman" w:cs="Times New Roman"/>
          <w:color w:val="000000"/>
          <w:sz w:val="24"/>
          <w:szCs w:val="24"/>
          <w:lang w:eastAsia="pt-BR"/>
        </w:rPr>
        <w:tab/>
      </w:r>
      <w:r w:rsidRPr="00F55E9E">
        <w:rPr>
          <w:rFonts w:ascii="Times New Roman" w:eastAsia="Times New Roman" w:hAnsi="Times New Roman" w:cs="Times New Roman"/>
          <w:color w:val="000000"/>
          <w:sz w:val="24"/>
          <w:szCs w:val="24"/>
          <w:lang w:eastAsia="pt-BR"/>
        </w:rPr>
        <w:t>E examinar as ordenações manuelinas, mesmo que de maneira superficial como se fez acima, permite vislumbrar esse dúplice aspecto.</w:t>
      </w: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D5042F" w:rsidRDefault="00D5042F" w:rsidP="000C435B">
      <w:pPr>
        <w:spacing w:after="0" w:line="360" w:lineRule="auto"/>
        <w:jc w:val="both"/>
        <w:rPr>
          <w:rFonts w:ascii="Times New Roman" w:eastAsia="Times New Roman" w:hAnsi="Times New Roman" w:cs="Times New Roman"/>
          <w:color w:val="000000"/>
          <w:sz w:val="24"/>
          <w:szCs w:val="24"/>
          <w:lang w:eastAsia="pt-BR"/>
        </w:rPr>
      </w:pP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lang w:eastAsia="pt-BR"/>
        </w:rPr>
        <w:lastRenderedPageBreak/>
        <w:t>Bibliografia</w:t>
      </w:r>
    </w:p>
    <w:p w:rsidR="00F55E9E" w:rsidRPr="00F55E9E" w:rsidRDefault="00F55E9E" w:rsidP="000C435B">
      <w:pPr>
        <w:spacing w:after="0" w:line="360" w:lineRule="auto"/>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shd w:val="clear" w:color="auto" w:fill="FFFFFF"/>
          <w:lang w:eastAsia="pt-BR"/>
        </w:rPr>
        <w:t xml:space="preserve">AZEVEDO, Luiz Carlos de. O reinado de D. Manuel e as Ordenações Manuelinas. </w:t>
      </w:r>
      <w:r w:rsidRPr="00F55E9E">
        <w:rPr>
          <w:rFonts w:ascii="Times New Roman" w:eastAsia="Times New Roman" w:hAnsi="Times New Roman" w:cs="Times New Roman"/>
          <w:b/>
          <w:bCs/>
          <w:color w:val="000000"/>
          <w:sz w:val="24"/>
          <w:szCs w:val="24"/>
          <w:shd w:val="clear" w:color="auto" w:fill="FFFFFF"/>
          <w:lang w:eastAsia="pt-BR"/>
        </w:rPr>
        <w:t>Revista da Faculdade de Direito, Universidade de São Paulo</w:t>
      </w:r>
      <w:r w:rsidRPr="00F55E9E">
        <w:rPr>
          <w:rFonts w:ascii="Times New Roman" w:eastAsia="Times New Roman" w:hAnsi="Times New Roman" w:cs="Times New Roman"/>
          <w:color w:val="000000"/>
          <w:sz w:val="24"/>
          <w:szCs w:val="24"/>
          <w:shd w:val="clear" w:color="auto" w:fill="FFFFFF"/>
          <w:lang w:eastAsia="pt-BR"/>
        </w:rPr>
        <w:t>, [</w:t>
      </w:r>
      <w:proofErr w:type="spellStart"/>
      <w:r w:rsidRPr="00F55E9E">
        <w:rPr>
          <w:rFonts w:ascii="Times New Roman" w:eastAsia="Times New Roman" w:hAnsi="Times New Roman" w:cs="Times New Roman"/>
          <w:color w:val="000000"/>
          <w:sz w:val="24"/>
          <w:szCs w:val="24"/>
          <w:shd w:val="clear" w:color="auto" w:fill="FFFFFF"/>
          <w:lang w:eastAsia="pt-BR"/>
        </w:rPr>
        <w:t>S.l</w:t>
      </w:r>
      <w:proofErr w:type="spellEnd"/>
      <w:r w:rsidRPr="00F55E9E">
        <w:rPr>
          <w:rFonts w:ascii="Times New Roman" w:eastAsia="Times New Roman" w:hAnsi="Times New Roman" w:cs="Times New Roman"/>
          <w:color w:val="000000"/>
          <w:sz w:val="24"/>
          <w:szCs w:val="24"/>
          <w:shd w:val="clear" w:color="auto" w:fill="FFFFFF"/>
          <w:lang w:eastAsia="pt-BR"/>
        </w:rPr>
        <w:t>.], v. 95, p. 19-32, jan. 2000. ISSN 2318-8235. Disponível em: &lt;</w:t>
      </w:r>
      <w:hyperlink r:id="rId9" w:history="1">
        <w:r w:rsidRPr="000C435B">
          <w:rPr>
            <w:rFonts w:ascii="Times New Roman" w:eastAsia="Times New Roman" w:hAnsi="Times New Roman" w:cs="Times New Roman"/>
            <w:color w:val="808080"/>
            <w:sz w:val="24"/>
            <w:szCs w:val="24"/>
            <w:u w:val="single"/>
            <w:shd w:val="clear" w:color="auto" w:fill="FFFFFF"/>
            <w:lang w:eastAsia="pt-BR"/>
          </w:rPr>
          <w:t>http://www.revistas.usp.br/rfdusp/article/view/67454/70064</w:t>
        </w:r>
      </w:hyperlink>
      <w:r w:rsidRPr="00F55E9E">
        <w:rPr>
          <w:rFonts w:ascii="Times New Roman" w:eastAsia="Times New Roman" w:hAnsi="Times New Roman" w:cs="Times New Roman"/>
          <w:color w:val="000000"/>
          <w:sz w:val="24"/>
          <w:szCs w:val="24"/>
          <w:shd w:val="clear" w:color="auto" w:fill="FFFFFF"/>
          <w:lang w:eastAsia="pt-BR"/>
        </w:rPr>
        <w:t>&gt;. Acesso em: 26 Abr. 2014.</w:t>
      </w:r>
    </w:p>
    <w:p w:rsidR="00F55E9E" w:rsidRPr="00F55E9E" w:rsidRDefault="00F55E9E" w:rsidP="000C435B">
      <w:pPr>
        <w:spacing w:after="0" w:line="360" w:lineRule="auto"/>
        <w:jc w:val="both"/>
        <w:rPr>
          <w:rFonts w:ascii="Times New Roman" w:eastAsia="Times New Roman" w:hAnsi="Times New Roman" w:cs="Times New Roman"/>
          <w:sz w:val="24"/>
          <w:szCs w:val="24"/>
          <w:lang w:eastAsia="pt-BR"/>
        </w:rPr>
      </w:pPr>
      <w:r w:rsidRPr="00F55E9E">
        <w:rPr>
          <w:rFonts w:ascii="Times New Roman" w:eastAsia="Times New Roman" w:hAnsi="Times New Roman" w:cs="Times New Roman"/>
          <w:color w:val="000000"/>
          <w:sz w:val="24"/>
          <w:szCs w:val="24"/>
          <w:shd w:val="clear" w:color="auto" w:fill="FFFFFF"/>
          <w:lang w:eastAsia="pt-BR"/>
        </w:rPr>
        <w:t xml:space="preserve">POVEDA VELASCO, Ignácio Maria. Ordenações do Reino de Portugal. </w:t>
      </w:r>
      <w:r w:rsidRPr="00F55E9E">
        <w:rPr>
          <w:rFonts w:ascii="Times New Roman" w:eastAsia="Times New Roman" w:hAnsi="Times New Roman" w:cs="Times New Roman"/>
          <w:b/>
          <w:bCs/>
          <w:color w:val="000000"/>
          <w:sz w:val="24"/>
          <w:szCs w:val="24"/>
          <w:shd w:val="clear" w:color="auto" w:fill="FFFFFF"/>
          <w:lang w:eastAsia="pt-BR"/>
        </w:rPr>
        <w:t>Revista da Faculdade de Direito, Universidade de São Paulo</w:t>
      </w:r>
      <w:r w:rsidRPr="00F55E9E">
        <w:rPr>
          <w:rFonts w:ascii="Times New Roman" w:eastAsia="Times New Roman" w:hAnsi="Times New Roman" w:cs="Times New Roman"/>
          <w:color w:val="000000"/>
          <w:sz w:val="24"/>
          <w:szCs w:val="24"/>
          <w:shd w:val="clear" w:color="auto" w:fill="FFFFFF"/>
          <w:lang w:eastAsia="pt-BR"/>
        </w:rPr>
        <w:t>, [</w:t>
      </w:r>
      <w:proofErr w:type="spellStart"/>
      <w:r w:rsidRPr="00F55E9E">
        <w:rPr>
          <w:rFonts w:ascii="Times New Roman" w:eastAsia="Times New Roman" w:hAnsi="Times New Roman" w:cs="Times New Roman"/>
          <w:color w:val="000000"/>
          <w:sz w:val="24"/>
          <w:szCs w:val="24"/>
          <w:shd w:val="clear" w:color="auto" w:fill="FFFFFF"/>
          <w:lang w:eastAsia="pt-BR"/>
        </w:rPr>
        <w:t>S.l</w:t>
      </w:r>
      <w:proofErr w:type="spellEnd"/>
      <w:r w:rsidRPr="00F55E9E">
        <w:rPr>
          <w:rFonts w:ascii="Times New Roman" w:eastAsia="Times New Roman" w:hAnsi="Times New Roman" w:cs="Times New Roman"/>
          <w:color w:val="000000"/>
          <w:sz w:val="24"/>
          <w:szCs w:val="24"/>
          <w:shd w:val="clear" w:color="auto" w:fill="FFFFFF"/>
          <w:lang w:eastAsia="pt-BR"/>
        </w:rPr>
        <w:t>.], v. 89, p. 11-67, jan. 1994. ISSN 2318-8235. Disponível em: &lt;</w:t>
      </w:r>
      <w:hyperlink r:id="rId10" w:history="1">
        <w:r w:rsidRPr="000C435B">
          <w:rPr>
            <w:rFonts w:ascii="Times New Roman" w:eastAsia="Times New Roman" w:hAnsi="Times New Roman" w:cs="Times New Roman"/>
            <w:color w:val="808080"/>
            <w:sz w:val="24"/>
            <w:szCs w:val="24"/>
            <w:u w:val="single"/>
            <w:shd w:val="clear" w:color="auto" w:fill="FFFFFF"/>
            <w:lang w:eastAsia="pt-BR"/>
          </w:rPr>
          <w:t>http://www.revistas.usp.br/rfdusp/article/view/67236/69846</w:t>
        </w:r>
      </w:hyperlink>
      <w:r w:rsidRPr="00F55E9E">
        <w:rPr>
          <w:rFonts w:ascii="Times New Roman" w:eastAsia="Times New Roman" w:hAnsi="Times New Roman" w:cs="Times New Roman"/>
          <w:color w:val="000000"/>
          <w:sz w:val="24"/>
          <w:szCs w:val="24"/>
          <w:shd w:val="clear" w:color="auto" w:fill="FFFFFF"/>
          <w:lang w:eastAsia="pt-BR"/>
        </w:rPr>
        <w:t>&gt;. Acesso em: 26 Abr. 2014.</w:t>
      </w:r>
    </w:p>
    <w:p w:rsidR="008A5120" w:rsidRPr="000C435B" w:rsidRDefault="00F55E9E" w:rsidP="000C435B">
      <w:pPr>
        <w:spacing w:line="360" w:lineRule="auto"/>
        <w:rPr>
          <w:rFonts w:ascii="Times New Roman" w:hAnsi="Times New Roman" w:cs="Times New Roman"/>
          <w:sz w:val="24"/>
          <w:szCs w:val="24"/>
        </w:rPr>
      </w:pPr>
      <w:r w:rsidRPr="000C435B">
        <w:rPr>
          <w:rFonts w:ascii="Times New Roman" w:eastAsia="Times New Roman" w:hAnsi="Times New Roman" w:cs="Times New Roman"/>
          <w:color w:val="000000"/>
          <w:sz w:val="24"/>
          <w:szCs w:val="24"/>
          <w:shd w:val="clear" w:color="auto" w:fill="FFFFFF"/>
          <w:lang w:eastAsia="pt-BR"/>
        </w:rPr>
        <w:t xml:space="preserve">LEITE, Rosimeire Ventura. Organização judiciária nas ordenações Manuelinas. </w:t>
      </w:r>
      <w:r w:rsidRPr="000C435B">
        <w:rPr>
          <w:rFonts w:ascii="Times New Roman" w:eastAsia="Times New Roman" w:hAnsi="Times New Roman" w:cs="Times New Roman"/>
          <w:b/>
          <w:bCs/>
          <w:color w:val="000000"/>
          <w:sz w:val="24"/>
          <w:szCs w:val="24"/>
          <w:shd w:val="clear" w:color="auto" w:fill="FFFFFF"/>
          <w:lang w:eastAsia="pt-BR"/>
        </w:rPr>
        <w:t>Revista da Faculdade de Direito, Universidade de São Paulo</w:t>
      </w:r>
      <w:r w:rsidRPr="000C435B">
        <w:rPr>
          <w:rFonts w:ascii="Times New Roman" w:eastAsia="Times New Roman" w:hAnsi="Times New Roman" w:cs="Times New Roman"/>
          <w:color w:val="000000"/>
          <w:sz w:val="24"/>
          <w:szCs w:val="24"/>
          <w:shd w:val="clear" w:color="auto" w:fill="FFFFFF"/>
          <w:lang w:eastAsia="pt-BR"/>
        </w:rPr>
        <w:t>, [</w:t>
      </w:r>
      <w:proofErr w:type="spellStart"/>
      <w:r w:rsidRPr="000C435B">
        <w:rPr>
          <w:rFonts w:ascii="Times New Roman" w:eastAsia="Times New Roman" w:hAnsi="Times New Roman" w:cs="Times New Roman"/>
          <w:color w:val="000000"/>
          <w:sz w:val="24"/>
          <w:szCs w:val="24"/>
          <w:shd w:val="clear" w:color="auto" w:fill="FFFFFF"/>
          <w:lang w:eastAsia="pt-BR"/>
        </w:rPr>
        <w:t>S.l</w:t>
      </w:r>
      <w:proofErr w:type="spellEnd"/>
      <w:r w:rsidRPr="000C435B">
        <w:rPr>
          <w:rFonts w:ascii="Times New Roman" w:eastAsia="Times New Roman" w:hAnsi="Times New Roman" w:cs="Times New Roman"/>
          <w:color w:val="000000"/>
          <w:sz w:val="24"/>
          <w:szCs w:val="24"/>
          <w:shd w:val="clear" w:color="auto" w:fill="FFFFFF"/>
          <w:lang w:eastAsia="pt-BR"/>
        </w:rPr>
        <w:t>.], v. 101, p. 1021-1044, jan. 2006. ISSN 2318-8235. Disponível em: &lt;</w:t>
      </w:r>
      <w:hyperlink r:id="rId11" w:history="1">
        <w:r w:rsidRPr="000C435B">
          <w:rPr>
            <w:rFonts w:ascii="Times New Roman" w:eastAsia="Times New Roman" w:hAnsi="Times New Roman" w:cs="Times New Roman"/>
            <w:color w:val="808080"/>
            <w:sz w:val="24"/>
            <w:szCs w:val="24"/>
            <w:u w:val="single"/>
            <w:shd w:val="clear" w:color="auto" w:fill="FFFFFF"/>
            <w:lang w:eastAsia="pt-BR"/>
          </w:rPr>
          <w:t>http://www.revistas.usp.br/rfdusp/article/view/67732/70340</w:t>
        </w:r>
      </w:hyperlink>
      <w:r w:rsidRPr="000C435B">
        <w:rPr>
          <w:rFonts w:ascii="Times New Roman" w:eastAsia="Times New Roman" w:hAnsi="Times New Roman" w:cs="Times New Roman"/>
          <w:color w:val="000000"/>
          <w:sz w:val="24"/>
          <w:szCs w:val="24"/>
          <w:shd w:val="clear" w:color="auto" w:fill="FFFFFF"/>
          <w:lang w:eastAsia="pt-BR"/>
        </w:rPr>
        <w:t>&gt;. Acesso em: 26 Abr. 2014.</w:t>
      </w:r>
    </w:p>
    <w:sectPr w:rsidR="008A5120" w:rsidRPr="000C43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C4" w:rsidRDefault="00F423C4" w:rsidP="000C435B">
      <w:pPr>
        <w:spacing w:after="0" w:line="240" w:lineRule="auto"/>
      </w:pPr>
      <w:r>
        <w:separator/>
      </w:r>
    </w:p>
  </w:endnote>
  <w:endnote w:type="continuationSeparator" w:id="0">
    <w:p w:rsidR="00F423C4" w:rsidRDefault="00F423C4" w:rsidP="000C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C4" w:rsidRDefault="00F423C4" w:rsidP="000C435B">
      <w:pPr>
        <w:spacing w:after="0" w:line="240" w:lineRule="auto"/>
      </w:pPr>
      <w:r>
        <w:separator/>
      </w:r>
    </w:p>
  </w:footnote>
  <w:footnote w:type="continuationSeparator" w:id="0">
    <w:p w:rsidR="00F423C4" w:rsidRDefault="00F423C4" w:rsidP="000C435B">
      <w:pPr>
        <w:spacing w:after="0" w:line="240" w:lineRule="auto"/>
      </w:pPr>
      <w:r>
        <w:continuationSeparator/>
      </w:r>
    </w:p>
  </w:footnote>
  <w:footnote w:id="1">
    <w:p w:rsidR="005D4C2F" w:rsidRPr="00D5042F" w:rsidRDefault="005D4C2F"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 xml:space="preserve">Ignácio Maria </w:t>
      </w:r>
      <w:proofErr w:type="spellStart"/>
      <w:r w:rsidRPr="00D5042F">
        <w:rPr>
          <w:color w:val="000000"/>
        </w:rPr>
        <w:t>Poveda</w:t>
      </w:r>
      <w:proofErr w:type="spellEnd"/>
      <w:r w:rsidRPr="00D5042F">
        <w:rPr>
          <w:color w:val="000000"/>
        </w:rPr>
        <w:t xml:space="preserve"> Velasco, </w:t>
      </w:r>
      <w:r w:rsidRPr="00D5042F">
        <w:rPr>
          <w:color w:val="000000"/>
          <w:shd w:val="clear" w:color="auto" w:fill="FFFFFF"/>
        </w:rPr>
        <w:t>Ordenações do Reino de Portugal, p. 21.</w:t>
      </w:r>
    </w:p>
  </w:footnote>
  <w:footnote w:id="2">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Ibidem, p. 21.</w:t>
      </w:r>
    </w:p>
  </w:footnote>
  <w:footnote w:id="3">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shd w:val="clear" w:color="auto" w:fill="FFFFFF"/>
        </w:rPr>
        <w:t>Ibidem p. 22; Luiz Carlos de Azevedo, O reinado de D. Manuel e as Ordenações Manuelinas, p. 24.</w:t>
      </w:r>
    </w:p>
  </w:footnote>
  <w:footnote w:id="4">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 xml:space="preserve">Ignácio Maria </w:t>
      </w:r>
      <w:proofErr w:type="spellStart"/>
      <w:r w:rsidRPr="00D5042F">
        <w:rPr>
          <w:rFonts w:ascii="Times New Roman" w:hAnsi="Times New Roman" w:cs="Times New Roman"/>
          <w:color w:val="000000"/>
          <w:sz w:val="24"/>
          <w:szCs w:val="24"/>
        </w:rPr>
        <w:t>Poveda</w:t>
      </w:r>
      <w:proofErr w:type="spellEnd"/>
      <w:r w:rsidRPr="00D5042F">
        <w:rPr>
          <w:rFonts w:ascii="Times New Roman" w:hAnsi="Times New Roman" w:cs="Times New Roman"/>
          <w:color w:val="000000"/>
          <w:sz w:val="24"/>
          <w:szCs w:val="24"/>
        </w:rPr>
        <w:t xml:space="preserve"> Velasco, </w:t>
      </w:r>
      <w:r w:rsidRPr="00D5042F">
        <w:rPr>
          <w:rFonts w:ascii="Times New Roman" w:hAnsi="Times New Roman" w:cs="Times New Roman"/>
          <w:color w:val="000000"/>
          <w:sz w:val="24"/>
          <w:szCs w:val="24"/>
          <w:shd w:val="clear" w:color="auto" w:fill="FFFFFF"/>
        </w:rPr>
        <w:t>Ordenações do Reino de Portugal, p. 22</w:t>
      </w:r>
      <w:r w:rsidRPr="00D5042F">
        <w:rPr>
          <w:rFonts w:ascii="Times New Roman" w:hAnsi="Times New Roman" w:cs="Times New Roman"/>
          <w:color w:val="000000"/>
          <w:sz w:val="24"/>
          <w:szCs w:val="24"/>
        </w:rPr>
        <w:t>; Luiz Carlos de Azevedo, O reinado de D. Manuel e as Ordenações Manuelinas, p. 24.</w:t>
      </w:r>
    </w:p>
  </w:footnote>
  <w:footnote w:id="5">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shd w:val="clear" w:color="auto" w:fill="FFFFFF"/>
        </w:rPr>
        <w:t>Art. 215. A escritura pública, lavrada em notas de tabelião, é documento dotado de fé pública, fazendo prova plena. § 1</w:t>
      </w:r>
      <w:r w:rsidRPr="00D5042F">
        <w:rPr>
          <w:rFonts w:ascii="Times New Roman" w:hAnsi="Times New Roman" w:cs="Times New Roman"/>
          <w:color w:val="000000"/>
          <w:sz w:val="24"/>
          <w:szCs w:val="24"/>
          <w:u w:val="single"/>
          <w:shd w:val="clear" w:color="auto" w:fill="FFFFFF"/>
          <w:vertAlign w:val="superscript"/>
        </w:rPr>
        <w:t>o</w:t>
      </w:r>
      <w:r w:rsidRPr="00D5042F">
        <w:rPr>
          <w:rFonts w:ascii="Times New Roman" w:hAnsi="Times New Roman" w:cs="Times New Roman"/>
          <w:color w:val="000000"/>
          <w:sz w:val="24"/>
          <w:szCs w:val="24"/>
          <w:shd w:val="clear" w:color="auto" w:fill="FFFFFF"/>
        </w:rPr>
        <w:t xml:space="preserve"> Salvo quando exigidos por lei outros requisitos, a escritura pública deve conter: (...) VI - declaração de ter sido lida na presença das partes e demais comparecentes, ou de que todos a leram; VII - assinatura das partes e dos demais comparecentes, bem como a do tabelião ou seu substituto legal, encerrando o ato. (...) § 5</w:t>
      </w:r>
      <w:r w:rsidRPr="00D5042F">
        <w:rPr>
          <w:rFonts w:ascii="Times New Roman" w:hAnsi="Times New Roman" w:cs="Times New Roman"/>
          <w:color w:val="000000"/>
          <w:sz w:val="24"/>
          <w:szCs w:val="24"/>
          <w:u w:val="single"/>
          <w:shd w:val="clear" w:color="auto" w:fill="FFFFFF"/>
          <w:vertAlign w:val="superscript"/>
        </w:rPr>
        <w:t>o</w:t>
      </w:r>
      <w:r w:rsidRPr="00D5042F">
        <w:rPr>
          <w:rFonts w:ascii="Times New Roman" w:hAnsi="Times New Roman" w:cs="Times New Roman"/>
          <w:color w:val="000000"/>
          <w:sz w:val="24"/>
          <w:szCs w:val="24"/>
          <w:shd w:val="clear" w:color="auto" w:fill="FFFFFF"/>
        </w:rPr>
        <w:t xml:space="preserve"> Se algum dos comparecentes não for conhecido do tabelião, nem puder identificar-se por documento, deverão participar do ato pelo menos duas testemunhas que o conheçam e atestem sua identidade.</w:t>
      </w:r>
    </w:p>
  </w:footnote>
  <w:footnote w:id="6">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shd w:val="clear" w:color="auto" w:fill="FFFFFF"/>
        </w:rPr>
        <w:t>§ 2</w:t>
      </w:r>
      <w:r w:rsidRPr="00D5042F">
        <w:rPr>
          <w:rFonts w:ascii="Times New Roman" w:hAnsi="Times New Roman" w:cs="Times New Roman"/>
          <w:color w:val="000000"/>
          <w:sz w:val="24"/>
          <w:szCs w:val="24"/>
          <w:u w:val="single"/>
          <w:shd w:val="clear" w:color="auto" w:fill="FFFFFF"/>
          <w:vertAlign w:val="superscript"/>
        </w:rPr>
        <w:t>o</w:t>
      </w:r>
      <w:r w:rsidRPr="00D5042F">
        <w:rPr>
          <w:rFonts w:ascii="Times New Roman" w:hAnsi="Times New Roman" w:cs="Times New Roman"/>
          <w:color w:val="000000"/>
          <w:sz w:val="24"/>
          <w:szCs w:val="24"/>
          <w:shd w:val="clear" w:color="auto" w:fill="FFFFFF"/>
        </w:rPr>
        <w:t xml:space="preserve"> do artigo citado na nota anterior: se algum comparecente não puder ou não souber escrever, outra pessoa capaz assinará por ele, a seu rogo.</w:t>
      </w:r>
    </w:p>
  </w:footnote>
  <w:footnote w:id="7">
    <w:p w:rsidR="005D4C2F" w:rsidRPr="00D5042F" w:rsidRDefault="005D4C2F"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Capítulo XIV 50. As emendas, as entrelinhas e as notas marginais ficam vedadas, mesmo para correção de erros, inexatidões materiais e irregularidades sanáveis. 50.1. A cláusula em tempo é admitida, se exarada antes da assinatura das partes e demais comparecentes e da subscrição da escritura pública pelo Tabelião ou pelo seu substituto, e desde que não afete elementos essenciais do ato, como o preço, o objeto e a forma de pagamento.</w:t>
      </w:r>
    </w:p>
  </w:footnote>
  <w:footnote w:id="8">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Artigo 215, § 5</w:t>
      </w:r>
      <w:r w:rsidRPr="00D5042F">
        <w:rPr>
          <w:rFonts w:ascii="Times New Roman" w:hAnsi="Times New Roman" w:cs="Times New Roman"/>
          <w:color w:val="000000"/>
          <w:sz w:val="24"/>
          <w:szCs w:val="24"/>
          <w:u w:val="single"/>
          <w:vertAlign w:val="superscript"/>
        </w:rPr>
        <w:t>o</w:t>
      </w:r>
      <w:r w:rsidRPr="00D5042F">
        <w:rPr>
          <w:rFonts w:ascii="Times New Roman" w:hAnsi="Times New Roman" w:cs="Times New Roman"/>
          <w:color w:val="000000"/>
          <w:sz w:val="24"/>
          <w:szCs w:val="24"/>
        </w:rPr>
        <w:t xml:space="preserve"> Se algum dos comparecentes não for conhecido do tabelião, nem puder identificar-se por documento, deverão participar do ato pelo menos duas testemunhas que o conheçam e atestem sua identidade.</w:t>
      </w:r>
    </w:p>
  </w:footnote>
  <w:footnote w:id="9">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Artigo 215, § 1º, I - data e local de sua realização;</w:t>
      </w:r>
    </w:p>
  </w:footnote>
  <w:footnote w:id="10">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 xml:space="preserve">149. Os traslados e certidões dos atos notariais serão fornecidos no prazo máximo de </w:t>
      </w:r>
      <w:proofErr w:type="gramStart"/>
      <w:r w:rsidRPr="00D5042F">
        <w:rPr>
          <w:rFonts w:ascii="Times New Roman" w:hAnsi="Times New Roman" w:cs="Times New Roman"/>
          <w:color w:val="000000"/>
          <w:sz w:val="24"/>
          <w:szCs w:val="24"/>
        </w:rPr>
        <w:t>5</w:t>
      </w:r>
      <w:proofErr w:type="gramEnd"/>
      <w:r w:rsidRPr="00D5042F">
        <w:rPr>
          <w:rFonts w:ascii="Times New Roman" w:hAnsi="Times New Roman" w:cs="Times New Roman"/>
          <w:color w:val="000000"/>
          <w:sz w:val="24"/>
          <w:szCs w:val="24"/>
        </w:rPr>
        <w:t xml:space="preserve"> (cinco) dias úteis contados da lavratura ou do pedido.</w:t>
      </w:r>
    </w:p>
  </w:footnote>
  <w:footnote w:id="11">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Art. 30. São deveres dos notários e dos oficiais de registro: I - manter em ordem os livros, papéis e documentos de sua serventia, guardando-os em locais seguros;</w:t>
      </w:r>
    </w:p>
  </w:footnote>
  <w:footnote w:id="12">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 xml:space="preserve">Art. 4º Os serviços notariais e de registro serão </w:t>
      </w:r>
      <w:proofErr w:type="gramStart"/>
      <w:r w:rsidRPr="00D5042F">
        <w:rPr>
          <w:rFonts w:ascii="Times New Roman" w:hAnsi="Times New Roman" w:cs="Times New Roman"/>
          <w:color w:val="000000"/>
          <w:sz w:val="24"/>
          <w:szCs w:val="24"/>
        </w:rPr>
        <w:t>prestados, de modo eficiente e adequado, em dias e horários estabelecidos pelo juízo competente</w:t>
      </w:r>
      <w:proofErr w:type="gramEnd"/>
      <w:r w:rsidRPr="00D5042F">
        <w:rPr>
          <w:rFonts w:ascii="Times New Roman" w:hAnsi="Times New Roman" w:cs="Times New Roman"/>
          <w:color w:val="000000"/>
          <w:sz w:val="24"/>
          <w:szCs w:val="24"/>
        </w:rPr>
        <w:t>, atendidas as peculiaridades locais, em local de fácil acesso ao público e que ofereça segurança para o arquivamento de livros e documentos.</w:t>
      </w:r>
    </w:p>
  </w:footnote>
  <w:footnote w:id="13">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36/Capítulo XIII das Normas de Serviço da Corregedoria Geral de Justiça do Estado de São Paulo: Os notários e registradores lavrarão certidões do que lhes for requerido e fornecerão às partes as informações solicitadas, salvo disposição legal ou normativa expressa em sentido contrário.</w:t>
      </w:r>
    </w:p>
  </w:footnote>
  <w:footnote w:id="14">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57/Capítulo XIV das Normas de Serviço da Corregedoria Geral de Justiça do Estado de São Paulo: As folhas dos livros não podem permanecer fora da serventia, de um dia para outro, ressalvadas as hipóteses de atos em diligência realizados fora do horário e dos dias estabelecidos para o atendimento ao público, mediante prévia autorização do Tabelião de Notas.</w:t>
      </w:r>
    </w:p>
  </w:footnote>
  <w:footnote w:id="15">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S</w:t>
      </w:r>
      <w:r w:rsidRPr="00D5042F">
        <w:rPr>
          <w:rFonts w:ascii="Times New Roman" w:hAnsi="Times New Roman" w:cs="Times New Roman"/>
          <w:color w:val="000000"/>
          <w:sz w:val="24"/>
          <w:szCs w:val="24"/>
        </w:rPr>
        <w:t>erá que tabelião do judicial era o equivalente ao atual escrivão judicial e o de audiência equivalia ao atual escrevente da sala do juiz?</w:t>
      </w:r>
    </w:p>
  </w:footnote>
  <w:footnote w:id="16">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i/>
          <w:iCs/>
          <w:color w:val="000000"/>
          <w:sz w:val="24"/>
          <w:szCs w:val="24"/>
        </w:rPr>
        <w:t xml:space="preserve">“11. Item os ditos </w:t>
      </w:r>
      <w:proofErr w:type="spellStart"/>
      <w:r w:rsidRPr="00D5042F">
        <w:rPr>
          <w:rFonts w:ascii="Times New Roman" w:hAnsi="Times New Roman" w:cs="Times New Roman"/>
          <w:i/>
          <w:iCs/>
          <w:color w:val="000000"/>
          <w:sz w:val="24"/>
          <w:szCs w:val="24"/>
        </w:rPr>
        <w:t>tabaliães</w:t>
      </w:r>
      <w:proofErr w:type="spellEnd"/>
      <w:r w:rsidRPr="00D5042F">
        <w:rPr>
          <w:rFonts w:ascii="Times New Roman" w:hAnsi="Times New Roman" w:cs="Times New Roman"/>
          <w:i/>
          <w:iCs/>
          <w:color w:val="000000"/>
          <w:sz w:val="24"/>
          <w:szCs w:val="24"/>
        </w:rPr>
        <w:t xml:space="preserve"> das notas faram </w:t>
      </w:r>
      <w:proofErr w:type="spellStart"/>
      <w:r w:rsidRPr="00D5042F">
        <w:rPr>
          <w:rFonts w:ascii="Times New Roman" w:hAnsi="Times New Roman" w:cs="Times New Roman"/>
          <w:i/>
          <w:iCs/>
          <w:color w:val="000000"/>
          <w:sz w:val="24"/>
          <w:szCs w:val="24"/>
        </w:rPr>
        <w:t>todolos</w:t>
      </w:r>
      <w:proofErr w:type="spellEnd"/>
      <w:r w:rsidRPr="00D5042F">
        <w:rPr>
          <w:rFonts w:ascii="Times New Roman" w:hAnsi="Times New Roman" w:cs="Times New Roman"/>
          <w:i/>
          <w:iCs/>
          <w:color w:val="000000"/>
          <w:sz w:val="24"/>
          <w:szCs w:val="24"/>
        </w:rPr>
        <w:t xml:space="preserve"> </w:t>
      </w:r>
      <w:proofErr w:type="spellStart"/>
      <w:r w:rsidRPr="00D5042F">
        <w:rPr>
          <w:rFonts w:ascii="Times New Roman" w:hAnsi="Times New Roman" w:cs="Times New Roman"/>
          <w:i/>
          <w:iCs/>
          <w:color w:val="000000"/>
          <w:sz w:val="24"/>
          <w:szCs w:val="24"/>
        </w:rPr>
        <w:t>estormentos</w:t>
      </w:r>
      <w:proofErr w:type="spellEnd"/>
      <w:r w:rsidRPr="00D5042F">
        <w:rPr>
          <w:rFonts w:ascii="Times New Roman" w:hAnsi="Times New Roman" w:cs="Times New Roman"/>
          <w:i/>
          <w:iCs/>
          <w:color w:val="000000"/>
          <w:sz w:val="24"/>
          <w:szCs w:val="24"/>
        </w:rPr>
        <w:t xml:space="preserve"> das posses, que forem dadas ou tomadas por poder e </w:t>
      </w:r>
      <w:proofErr w:type="spellStart"/>
      <w:r w:rsidRPr="00D5042F">
        <w:rPr>
          <w:rFonts w:ascii="Times New Roman" w:hAnsi="Times New Roman" w:cs="Times New Roman"/>
          <w:i/>
          <w:iCs/>
          <w:color w:val="000000"/>
          <w:sz w:val="24"/>
          <w:szCs w:val="24"/>
        </w:rPr>
        <w:t>vertude</w:t>
      </w:r>
      <w:proofErr w:type="spellEnd"/>
      <w:r w:rsidRPr="00D5042F">
        <w:rPr>
          <w:rFonts w:ascii="Times New Roman" w:hAnsi="Times New Roman" w:cs="Times New Roman"/>
          <w:i/>
          <w:iCs/>
          <w:color w:val="000000"/>
          <w:sz w:val="24"/>
          <w:szCs w:val="24"/>
        </w:rPr>
        <w:t xml:space="preserve"> das </w:t>
      </w:r>
      <w:proofErr w:type="spellStart"/>
      <w:r w:rsidRPr="00D5042F">
        <w:rPr>
          <w:rFonts w:ascii="Times New Roman" w:hAnsi="Times New Roman" w:cs="Times New Roman"/>
          <w:i/>
          <w:iCs/>
          <w:color w:val="000000"/>
          <w:sz w:val="24"/>
          <w:szCs w:val="24"/>
        </w:rPr>
        <w:t>escripturas</w:t>
      </w:r>
      <w:proofErr w:type="spellEnd"/>
      <w:r w:rsidRPr="00D5042F">
        <w:rPr>
          <w:rFonts w:ascii="Times New Roman" w:hAnsi="Times New Roman" w:cs="Times New Roman"/>
          <w:i/>
          <w:iCs/>
          <w:color w:val="000000"/>
          <w:sz w:val="24"/>
          <w:szCs w:val="24"/>
        </w:rPr>
        <w:t xml:space="preserve"> das vendas, e </w:t>
      </w:r>
      <w:proofErr w:type="spellStart"/>
      <w:r w:rsidRPr="00D5042F">
        <w:rPr>
          <w:rFonts w:ascii="Times New Roman" w:hAnsi="Times New Roman" w:cs="Times New Roman"/>
          <w:i/>
          <w:iCs/>
          <w:color w:val="000000"/>
          <w:sz w:val="24"/>
          <w:szCs w:val="24"/>
        </w:rPr>
        <w:t>escaimbos</w:t>
      </w:r>
      <w:proofErr w:type="spellEnd"/>
      <w:r w:rsidRPr="00D5042F">
        <w:rPr>
          <w:rFonts w:ascii="Times New Roman" w:hAnsi="Times New Roman" w:cs="Times New Roman"/>
          <w:i/>
          <w:iCs/>
          <w:color w:val="000000"/>
          <w:sz w:val="24"/>
          <w:szCs w:val="24"/>
        </w:rPr>
        <w:t xml:space="preserve">, </w:t>
      </w:r>
      <w:proofErr w:type="spellStart"/>
      <w:r w:rsidRPr="00D5042F">
        <w:rPr>
          <w:rFonts w:ascii="Times New Roman" w:hAnsi="Times New Roman" w:cs="Times New Roman"/>
          <w:i/>
          <w:iCs/>
          <w:color w:val="000000"/>
          <w:sz w:val="24"/>
          <w:szCs w:val="24"/>
        </w:rPr>
        <w:t>aformaentos</w:t>
      </w:r>
      <w:proofErr w:type="spellEnd"/>
      <w:r w:rsidRPr="00D5042F">
        <w:rPr>
          <w:rFonts w:ascii="Times New Roman" w:hAnsi="Times New Roman" w:cs="Times New Roman"/>
          <w:i/>
          <w:iCs/>
          <w:color w:val="000000"/>
          <w:sz w:val="24"/>
          <w:szCs w:val="24"/>
        </w:rPr>
        <w:t xml:space="preserve">, e emprazamentos, e d´outros </w:t>
      </w:r>
      <w:proofErr w:type="spellStart"/>
      <w:r w:rsidRPr="00D5042F">
        <w:rPr>
          <w:rFonts w:ascii="Times New Roman" w:hAnsi="Times New Roman" w:cs="Times New Roman"/>
          <w:i/>
          <w:iCs/>
          <w:color w:val="000000"/>
          <w:sz w:val="24"/>
          <w:szCs w:val="24"/>
        </w:rPr>
        <w:t>quaesquer</w:t>
      </w:r>
      <w:proofErr w:type="spellEnd"/>
      <w:r w:rsidRPr="00D5042F">
        <w:rPr>
          <w:rFonts w:ascii="Times New Roman" w:hAnsi="Times New Roman" w:cs="Times New Roman"/>
          <w:i/>
          <w:iCs/>
          <w:color w:val="000000"/>
          <w:sz w:val="24"/>
          <w:szCs w:val="24"/>
        </w:rPr>
        <w:t xml:space="preserve"> </w:t>
      </w:r>
      <w:proofErr w:type="spellStart"/>
      <w:r w:rsidRPr="00D5042F">
        <w:rPr>
          <w:rFonts w:ascii="Times New Roman" w:hAnsi="Times New Roman" w:cs="Times New Roman"/>
          <w:i/>
          <w:iCs/>
          <w:color w:val="000000"/>
          <w:sz w:val="24"/>
          <w:szCs w:val="24"/>
        </w:rPr>
        <w:t>contractos</w:t>
      </w:r>
      <w:proofErr w:type="spellEnd"/>
      <w:r w:rsidRPr="00D5042F">
        <w:rPr>
          <w:rFonts w:ascii="Times New Roman" w:hAnsi="Times New Roman" w:cs="Times New Roman"/>
          <w:i/>
          <w:iCs/>
          <w:color w:val="000000"/>
          <w:sz w:val="24"/>
          <w:szCs w:val="24"/>
        </w:rPr>
        <w:t xml:space="preserve">, segundo </w:t>
      </w:r>
      <w:proofErr w:type="spellStart"/>
      <w:proofErr w:type="gramStart"/>
      <w:r w:rsidRPr="00D5042F">
        <w:rPr>
          <w:rFonts w:ascii="Times New Roman" w:hAnsi="Times New Roman" w:cs="Times New Roman"/>
          <w:i/>
          <w:iCs/>
          <w:color w:val="000000"/>
          <w:sz w:val="24"/>
          <w:szCs w:val="24"/>
        </w:rPr>
        <w:t>he</w:t>
      </w:r>
      <w:proofErr w:type="spellEnd"/>
      <w:proofErr w:type="gramEnd"/>
      <w:r w:rsidRPr="00D5042F">
        <w:rPr>
          <w:rFonts w:ascii="Times New Roman" w:hAnsi="Times New Roman" w:cs="Times New Roman"/>
          <w:i/>
          <w:iCs/>
          <w:color w:val="000000"/>
          <w:sz w:val="24"/>
          <w:szCs w:val="24"/>
        </w:rPr>
        <w:t xml:space="preserve"> </w:t>
      </w:r>
      <w:proofErr w:type="spellStart"/>
      <w:r w:rsidRPr="00D5042F">
        <w:rPr>
          <w:rFonts w:ascii="Times New Roman" w:hAnsi="Times New Roman" w:cs="Times New Roman"/>
          <w:i/>
          <w:iCs/>
          <w:color w:val="000000"/>
          <w:sz w:val="24"/>
          <w:szCs w:val="24"/>
        </w:rPr>
        <w:t>contheudo</w:t>
      </w:r>
      <w:proofErr w:type="spellEnd"/>
      <w:r w:rsidRPr="00D5042F">
        <w:rPr>
          <w:rFonts w:ascii="Times New Roman" w:hAnsi="Times New Roman" w:cs="Times New Roman"/>
          <w:i/>
          <w:iCs/>
          <w:color w:val="000000"/>
          <w:sz w:val="24"/>
          <w:szCs w:val="24"/>
        </w:rPr>
        <w:t xml:space="preserve"> no Quarto Livro, no Titulo dos que tomam forçosamente a posse da cousa que outrem </w:t>
      </w:r>
      <w:proofErr w:type="spellStart"/>
      <w:r w:rsidRPr="00D5042F">
        <w:rPr>
          <w:rFonts w:ascii="Times New Roman" w:hAnsi="Times New Roman" w:cs="Times New Roman"/>
          <w:i/>
          <w:iCs/>
          <w:color w:val="000000"/>
          <w:sz w:val="24"/>
          <w:szCs w:val="24"/>
        </w:rPr>
        <w:t>possue</w:t>
      </w:r>
      <w:proofErr w:type="spellEnd"/>
      <w:r w:rsidRPr="00D5042F">
        <w:rPr>
          <w:rFonts w:ascii="Times New Roman" w:hAnsi="Times New Roman" w:cs="Times New Roman"/>
          <w:i/>
          <w:iCs/>
          <w:color w:val="000000"/>
          <w:sz w:val="24"/>
          <w:szCs w:val="24"/>
        </w:rPr>
        <w:t xml:space="preserve">. E quanto aas posses que forem tomadas por </w:t>
      </w:r>
      <w:proofErr w:type="spellStart"/>
      <w:r w:rsidRPr="00D5042F">
        <w:rPr>
          <w:rFonts w:ascii="Times New Roman" w:hAnsi="Times New Roman" w:cs="Times New Roman"/>
          <w:i/>
          <w:iCs/>
          <w:color w:val="000000"/>
          <w:sz w:val="24"/>
          <w:szCs w:val="24"/>
        </w:rPr>
        <w:t>viguor</w:t>
      </w:r>
      <w:proofErr w:type="spellEnd"/>
      <w:r w:rsidRPr="00D5042F">
        <w:rPr>
          <w:rFonts w:ascii="Times New Roman" w:hAnsi="Times New Roman" w:cs="Times New Roman"/>
          <w:i/>
          <w:iCs/>
          <w:color w:val="000000"/>
          <w:sz w:val="24"/>
          <w:szCs w:val="24"/>
        </w:rPr>
        <w:t xml:space="preserve"> de sentenças, ou mandados de </w:t>
      </w:r>
      <w:proofErr w:type="spellStart"/>
      <w:r w:rsidRPr="00D5042F">
        <w:rPr>
          <w:rFonts w:ascii="Times New Roman" w:hAnsi="Times New Roman" w:cs="Times New Roman"/>
          <w:i/>
          <w:iCs/>
          <w:color w:val="000000"/>
          <w:sz w:val="24"/>
          <w:szCs w:val="24"/>
        </w:rPr>
        <w:t>Juizes</w:t>
      </w:r>
      <w:proofErr w:type="spellEnd"/>
      <w:r w:rsidRPr="00D5042F">
        <w:rPr>
          <w:rFonts w:ascii="Times New Roman" w:hAnsi="Times New Roman" w:cs="Times New Roman"/>
          <w:i/>
          <w:iCs/>
          <w:color w:val="000000"/>
          <w:sz w:val="24"/>
          <w:szCs w:val="24"/>
        </w:rPr>
        <w:t xml:space="preserve">, faram os </w:t>
      </w:r>
      <w:proofErr w:type="spellStart"/>
      <w:r w:rsidRPr="00D5042F">
        <w:rPr>
          <w:rFonts w:ascii="Times New Roman" w:hAnsi="Times New Roman" w:cs="Times New Roman"/>
          <w:i/>
          <w:iCs/>
          <w:color w:val="000000"/>
          <w:sz w:val="24"/>
          <w:szCs w:val="24"/>
        </w:rPr>
        <w:t>estormentos</w:t>
      </w:r>
      <w:proofErr w:type="spellEnd"/>
      <w:r w:rsidRPr="00D5042F">
        <w:rPr>
          <w:rFonts w:ascii="Times New Roman" w:hAnsi="Times New Roman" w:cs="Times New Roman"/>
          <w:i/>
          <w:iCs/>
          <w:color w:val="000000"/>
          <w:sz w:val="24"/>
          <w:szCs w:val="24"/>
        </w:rPr>
        <w:t xml:space="preserve"> disto os </w:t>
      </w:r>
      <w:proofErr w:type="spellStart"/>
      <w:r w:rsidRPr="00D5042F">
        <w:rPr>
          <w:rFonts w:ascii="Times New Roman" w:hAnsi="Times New Roman" w:cs="Times New Roman"/>
          <w:i/>
          <w:iCs/>
          <w:color w:val="000000"/>
          <w:sz w:val="24"/>
          <w:szCs w:val="24"/>
        </w:rPr>
        <w:t>tabaliães</w:t>
      </w:r>
      <w:proofErr w:type="spellEnd"/>
      <w:r w:rsidRPr="00D5042F">
        <w:rPr>
          <w:rFonts w:ascii="Times New Roman" w:hAnsi="Times New Roman" w:cs="Times New Roman"/>
          <w:i/>
          <w:iCs/>
          <w:color w:val="000000"/>
          <w:sz w:val="24"/>
          <w:szCs w:val="24"/>
        </w:rPr>
        <w:t xml:space="preserve"> </w:t>
      </w:r>
      <w:proofErr w:type="spellStart"/>
      <w:r w:rsidRPr="00D5042F">
        <w:rPr>
          <w:rFonts w:ascii="Times New Roman" w:hAnsi="Times New Roman" w:cs="Times New Roman"/>
          <w:i/>
          <w:iCs/>
          <w:color w:val="000000"/>
          <w:sz w:val="24"/>
          <w:szCs w:val="24"/>
        </w:rPr>
        <w:t>judiciaes</w:t>
      </w:r>
      <w:proofErr w:type="spellEnd"/>
      <w:r w:rsidRPr="00D5042F">
        <w:rPr>
          <w:rFonts w:ascii="Times New Roman" w:hAnsi="Times New Roman" w:cs="Times New Roman"/>
          <w:i/>
          <w:iCs/>
          <w:color w:val="000000"/>
          <w:sz w:val="24"/>
          <w:szCs w:val="24"/>
        </w:rPr>
        <w:t>, como adiante será declarado em seu titulo”.</w:t>
      </w:r>
    </w:p>
  </w:footnote>
  <w:footnote w:id="17">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proofErr w:type="gramStart"/>
      <w:r w:rsidRPr="00D5042F">
        <w:rPr>
          <w:rFonts w:ascii="Times New Roman" w:hAnsi="Times New Roman" w:cs="Times New Roman"/>
          <w:color w:val="000000"/>
          <w:sz w:val="24"/>
          <w:szCs w:val="24"/>
        </w:rPr>
        <w:t xml:space="preserve">“ </w:t>
      </w:r>
      <w:proofErr w:type="gramEnd"/>
      <w:r w:rsidRPr="00D5042F">
        <w:rPr>
          <w:rFonts w:ascii="Times New Roman" w:hAnsi="Times New Roman" w:cs="Times New Roman"/>
          <w:color w:val="000000"/>
          <w:sz w:val="24"/>
          <w:szCs w:val="24"/>
        </w:rPr>
        <w:t xml:space="preserve">E quanto aos </w:t>
      </w:r>
      <w:proofErr w:type="spellStart"/>
      <w:r w:rsidRPr="00D5042F">
        <w:rPr>
          <w:rFonts w:ascii="Times New Roman" w:hAnsi="Times New Roman" w:cs="Times New Roman"/>
          <w:color w:val="000000"/>
          <w:sz w:val="24"/>
          <w:szCs w:val="24"/>
        </w:rPr>
        <w:t>estormentos</w:t>
      </w:r>
      <w:proofErr w:type="spellEnd"/>
      <w:r w:rsidRPr="00D5042F">
        <w:rPr>
          <w:rFonts w:ascii="Times New Roman" w:hAnsi="Times New Roman" w:cs="Times New Roman"/>
          <w:color w:val="000000"/>
          <w:sz w:val="24"/>
          <w:szCs w:val="24"/>
        </w:rPr>
        <w:t xml:space="preserve"> … das citações que se fazem por nossas cartas … ou de certidões … e </w:t>
      </w:r>
      <w:proofErr w:type="spellStart"/>
      <w:r w:rsidRPr="00D5042F">
        <w:rPr>
          <w:rFonts w:ascii="Times New Roman" w:hAnsi="Times New Roman" w:cs="Times New Roman"/>
          <w:color w:val="000000"/>
          <w:sz w:val="24"/>
          <w:szCs w:val="24"/>
        </w:rPr>
        <w:t>alvaraes</w:t>
      </w:r>
      <w:proofErr w:type="spellEnd"/>
      <w:r w:rsidRPr="00D5042F">
        <w:rPr>
          <w:rFonts w:ascii="Times New Roman" w:hAnsi="Times New Roman" w:cs="Times New Roman"/>
          <w:color w:val="000000"/>
          <w:sz w:val="24"/>
          <w:szCs w:val="24"/>
        </w:rPr>
        <w:t xml:space="preserve"> … todas estas </w:t>
      </w:r>
      <w:proofErr w:type="spellStart"/>
      <w:r w:rsidRPr="00D5042F">
        <w:rPr>
          <w:rFonts w:ascii="Times New Roman" w:hAnsi="Times New Roman" w:cs="Times New Roman"/>
          <w:color w:val="000000"/>
          <w:sz w:val="24"/>
          <w:szCs w:val="24"/>
        </w:rPr>
        <w:t>escripturas</w:t>
      </w:r>
      <w:proofErr w:type="spellEnd"/>
      <w:r w:rsidRPr="00D5042F">
        <w:rPr>
          <w:rFonts w:ascii="Times New Roman" w:hAnsi="Times New Roman" w:cs="Times New Roman"/>
          <w:color w:val="000000"/>
          <w:sz w:val="24"/>
          <w:szCs w:val="24"/>
        </w:rPr>
        <w:t xml:space="preserve"> e </w:t>
      </w:r>
      <w:proofErr w:type="spellStart"/>
      <w:r w:rsidRPr="00D5042F">
        <w:rPr>
          <w:rFonts w:ascii="Times New Roman" w:hAnsi="Times New Roman" w:cs="Times New Roman"/>
          <w:color w:val="000000"/>
          <w:sz w:val="24"/>
          <w:szCs w:val="24"/>
        </w:rPr>
        <w:t>estormentos</w:t>
      </w:r>
      <w:proofErr w:type="spellEnd"/>
      <w:r w:rsidRPr="00D5042F">
        <w:rPr>
          <w:rFonts w:ascii="Times New Roman" w:hAnsi="Times New Roman" w:cs="Times New Roman"/>
          <w:color w:val="000000"/>
          <w:sz w:val="24"/>
          <w:szCs w:val="24"/>
        </w:rPr>
        <w:t xml:space="preserve"> das cousas neste </w:t>
      </w:r>
      <w:proofErr w:type="spellStart"/>
      <w:r w:rsidRPr="00D5042F">
        <w:rPr>
          <w:rFonts w:ascii="Times New Roman" w:hAnsi="Times New Roman" w:cs="Times New Roman"/>
          <w:color w:val="000000"/>
          <w:sz w:val="24"/>
          <w:szCs w:val="24"/>
        </w:rPr>
        <w:t>capitolo</w:t>
      </w:r>
      <w:proofErr w:type="spellEnd"/>
      <w:r w:rsidRPr="00D5042F">
        <w:rPr>
          <w:rFonts w:ascii="Times New Roman" w:hAnsi="Times New Roman" w:cs="Times New Roman"/>
          <w:color w:val="000000"/>
          <w:sz w:val="24"/>
          <w:szCs w:val="24"/>
        </w:rPr>
        <w:t xml:space="preserve"> declaradas, e d´outras </w:t>
      </w:r>
      <w:proofErr w:type="spellStart"/>
      <w:r w:rsidRPr="00D5042F">
        <w:rPr>
          <w:rFonts w:ascii="Times New Roman" w:hAnsi="Times New Roman" w:cs="Times New Roman"/>
          <w:color w:val="000000"/>
          <w:sz w:val="24"/>
          <w:szCs w:val="24"/>
        </w:rPr>
        <w:t>quaesquer</w:t>
      </w:r>
      <w:proofErr w:type="spellEnd"/>
      <w:r w:rsidRPr="00D5042F">
        <w:rPr>
          <w:rFonts w:ascii="Times New Roman" w:hAnsi="Times New Roman" w:cs="Times New Roman"/>
          <w:color w:val="000000"/>
          <w:sz w:val="24"/>
          <w:szCs w:val="24"/>
        </w:rPr>
        <w:t xml:space="preserve"> de semelhante qualidade, faram e passaram </w:t>
      </w:r>
      <w:proofErr w:type="spellStart"/>
      <w:r w:rsidRPr="00D5042F">
        <w:rPr>
          <w:rFonts w:ascii="Times New Roman" w:hAnsi="Times New Roman" w:cs="Times New Roman"/>
          <w:color w:val="000000"/>
          <w:sz w:val="24"/>
          <w:szCs w:val="24"/>
        </w:rPr>
        <w:t>quaesquer</w:t>
      </w:r>
      <w:proofErr w:type="spellEnd"/>
      <w:r w:rsidRPr="00D5042F">
        <w:rPr>
          <w:rFonts w:ascii="Times New Roman" w:hAnsi="Times New Roman" w:cs="Times New Roman"/>
          <w:color w:val="000000"/>
          <w:sz w:val="24"/>
          <w:szCs w:val="24"/>
        </w:rPr>
        <w:t xml:space="preserve"> </w:t>
      </w:r>
      <w:proofErr w:type="spellStart"/>
      <w:r w:rsidRPr="00D5042F">
        <w:rPr>
          <w:rFonts w:ascii="Times New Roman" w:hAnsi="Times New Roman" w:cs="Times New Roman"/>
          <w:color w:val="000000"/>
          <w:sz w:val="24"/>
          <w:szCs w:val="24"/>
        </w:rPr>
        <w:t>Tabaliães</w:t>
      </w:r>
      <w:proofErr w:type="spellEnd"/>
      <w:r w:rsidRPr="00D5042F">
        <w:rPr>
          <w:rFonts w:ascii="Times New Roman" w:hAnsi="Times New Roman" w:cs="Times New Roman"/>
          <w:color w:val="000000"/>
          <w:sz w:val="24"/>
          <w:szCs w:val="24"/>
        </w:rPr>
        <w:t xml:space="preserve">, ou das Notas, ou das Audiências, </w:t>
      </w:r>
      <w:proofErr w:type="spellStart"/>
      <w:r w:rsidRPr="00D5042F">
        <w:rPr>
          <w:rFonts w:ascii="Times New Roman" w:hAnsi="Times New Roman" w:cs="Times New Roman"/>
          <w:color w:val="000000"/>
          <w:sz w:val="24"/>
          <w:szCs w:val="24"/>
        </w:rPr>
        <w:t>quaes</w:t>
      </w:r>
      <w:proofErr w:type="spellEnd"/>
      <w:r w:rsidRPr="00D5042F">
        <w:rPr>
          <w:rFonts w:ascii="Times New Roman" w:hAnsi="Times New Roman" w:cs="Times New Roman"/>
          <w:color w:val="000000"/>
          <w:sz w:val="24"/>
          <w:szCs w:val="24"/>
        </w:rPr>
        <w:t xml:space="preserve"> as partes pera </w:t>
      </w:r>
      <w:proofErr w:type="spellStart"/>
      <w:r w:rsidRPr="00D5042F">
        <w:rPr>
          <w:rFonts w:ascii="Times New Roman" w:hAnsi="Times New Roman" w:cs="Times New Roman"/>
          <w:color w:val="000000"/>
          <w:sz w:val="24"/>
          <w:szCs w:val="24"/>
        </w:rPr>
        <w:t>ello</w:t>
      </w:r>
      <w:proofErr w:type="spellEnd"/>
      <w:r w:rsidRPr="00D5042F">
        <w:rPr>
          <w:rFonts w:ascii="Times New Roman" w:hAnsi="Times New Roman" w:cs="Times New Roman"/>
          <w:color w:val="000000"/>
          <w:sz w:val="24"/>
          <w:szCs w:val="24"/>
        </w:rPr>
        <w:t xml:space="preserve"> quiserem escolher, e acharem mais prestes e </w:t>
      </w:r>
      <w:proofErr w:type="spellStart"/>
      <w:r w:rsidRPr="00D5042F">
        <w:rPr>
          <w:rFonts w:ascii="Times New Roman" w:hAnsi="Times New Roman" w:cs="Times New Roman"/>
          <w:color w:val="000000"/>
          <w:sz w:val="24"/>
          <w:szCs w:val="24"/>
        </w:rPr>
        <w:t>deligentes</w:t>
      </w:r>
      <w:proofErr w:type="spellEnd"/>
      <w:r w:rsidRPr="00D5042F">
        <w:rPr>
          <w:rFonts w:ascii="Times New Roman" w:hAnsi="Times New Roman" w:cs="Times New Roman"/>
          <w:color w:val="000000"/>
          <w:sz w:val="24"/>
          <w:szCs w:val="24"/>
        </w:rPr>
        <w:t>.”</w:t>
      </w:r>
    </w:p>
  </w:footnote>
  <w:footnote w:id="18">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Não é demais lembrar que hoje em dia os tabeliães também estão obrigados a seguir uma tabela de emolumentos: Art. 30 da Lei 8935/94 - São deveres dos notários e dos oficiais de registro: VIII - observar os emolumentos fixados para a prática dos atos do seu ofício;</w:t>
      </w:r>
    </w:p>
  </w:footnote>
  <w:footnote w:id="19">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 xml:space="preserve">Art. 25 da Lei 8935/94: O exercício da atividade notarial e de registro é incompatível com o da advocacia, o da intermediação de seus serviços ou o de qualquer cargo, emprego ou função </w:t>
      </w:r>
      <w:proofErr w:type="gramStart"/>
      <w:r w:rsidRPr="00D5042F">
        <w:rPr>
          <w:rFonts w:ascii="Times New Roman" w:hAnsi="Times New Roman" w:cs="Times New Roman"/>
          <w:color w:val="000000"/>
          <w:sz w:val="24"/>
          <w:szCs w:val="24"/>
        </w:rPr>
        <w:t>públicos</w:t>
      </w:r>
      <w:proofErr w:type="gramEnd"/>
      <w:r w:rsidRPr="00D5042F">
        <w:rPr>
          <w:rFonts w:ascii="Times New Roman" w:hAnsi="Times New Roman" w:cs="Times New Roman"/>
          <w:color w:val="000000"/>
          <w:sz w:val="24"/>
          <w:szCs w:val="24"/>
        </w:rPr>
        <w:t>, ainda que em comissão.</w:t>
      </w:r>
    </w:p>
  </w:footnote>
  <w:footnote w:id="20">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 xml:space="preserve">Os tabeliães do Estado de São Paulo estão obrigados a lançar o montante de emolumentos cobrado em todas as escrituras que </w:t>
      </w:r>
      <w:proofErr w:type="spellStart"/>
      <w:proofErr w:type="gramStart"/>
      <w:r w:rsidRPr="00D5042F">
        <w:rPr>
          <w:rFonts w:ascii="Times New Roman" w:hAnsi="Times New Roman" w:cs="Times New Roman"/>
          <w:color w:val="000000"/>
          <w:sz w:val="24"/>
          <w:szCs w:val="24"/>
        </w:rPr>
        <w:t>lavrarem:</w:t>
      </w:r>
      <w:proofErr w:type="gramEnd"/>
      <w:r w:rsidRPr="00D5042F">
        <w:rPr>
          <w:rFonts w:ascii="Times New Roman" w:hAnsi="Times New Roman" w:cs="Times New Roman"/>
          <w:color w:val="000000"/>
          <w:sz w:val="24"/>
          <w:szCs w:val="24"/>
        </w:rPr>
        <w:t>item</w:t>
      </w:r>
      <w:proofErr w:type="spellEnd"/>
      <w:r w:rsidRPr="00D5042F">
        <w:rPr>
          <w:rFonts w:ascii="Times New Roman" w:hAnsi="Times New Roman" w:cs="Times New Roman"/>
          <w:color w:val="000000"/>
          <w:sz w:val="24"/>
          <w:szCs w:val="24"/>
        </w:rPr>
        <w:t xml:space="preserve">  66/Capítulo XIII das Normas de Serviço da Corregedoria Geral de Justiça - O pagamento das despesas e emolumentos, quando previstos em lei, será feito diretamente ao notário ou ao registrador, que deverá passar cota e obrigatoriamente emitir </w:t>
      </w:r>
      <w:proofErr w:type="spellStart"/>
      <w:r w:rsidRPr="00D5042F">
        <w:rPr>
          <w:rFonts w:ascii="Times New Roman" w:hAnsi="Times New Roman" w:cs="Times New Roman"/>
          <w:color w:val="000000"/>
          <w:sz w:val="24"/>
          <w:szCs w:val="24"/>
        </w:rPr>
        <w:t>recibo,acompanhado</w:t>
      </w:r>
      <w:proofErr w:type="spellEnd"/>
      <w:r w:rsidRPr="00D5042F">
        <w:rPr>
          <w:rFonts w:ascii="Times New Roman" w:hAnsi="Times New Roman" w:cs="Times New Roman"/>
          <w:color w:val="000000"/>
          <w:sz w:val="24"/>
          <w:szCs w:val="24"/>
        </w:rPr>
        <w:t xml:space="preserve"> de </w:t>
      </w:r>
      <w:proofErr w:type="spellStart"/>
      <w:r w:rsidRPr="00D5042F">
        <w:rPr>
          <w:rFonts w:ascii="Times New Roman" w:hAnsi="Times New Roman" w:cs="Times New Roman"/>
          <w:color w:val="000000"/>
          <w:sz w:val="24"/>
          <w:szCs w:val="24"/>
        </w:rPr>
        <w:t>contra-recibo</w:t>
      </w:r>
      <w:proofErr w:type="spellEnd"/>
      <w:r w:rsidRPr="00D5042F">
        <w:rPr>
          <w:rFonts w:ascii="Times New Roman" w:hAnsi="Times New Roman" w:cs="Times New Roman"/>
          <w:color w:val="000000"/>
          <w:sz w:val="24"/>
          <w:szCs w:val="24"/>
        </w:rPr>
        <w:t>, com especificação das parcelas relativas à receita dos notários e registradores, à receita do Estado, à contribuição à Carteira de Previdência das Serventias não Oficializadas, à parte destinada ao custeio dos atos gratuitos praticados pelos Oficiais do Registro Civil das Pessoas Naturais, à parte destinada ao Fundo de Despesas Especiais do Tribunal de Justiça, à Contribuição de Solidariedade, e quaisquer outras despesas autorizadas.</w:t>
      </w:r>
    </w:p>
  </w:footnote>
  <w:footnote w:id="21">
    <w:p w:rsidR="005D4C2F" w:rsidRPr="00D5042F" w:rsidRDefault="005D4C2F"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Implicitamente se está a dizer que naquela época já havia atos notariais gratuitos, o que também é previsto hoje em dia: item 76/Capítulo XIII das Normas de Serviço da Corregedoria Geral de Justiça -</w:t>
      </w:r>
      <w:proofErr w:type="gramStart"/>
      <w:r w:rsidRPr="00D5042F">
        <w:rPr>
          <w:color w:val="000000"/>
        </w:rPr>
        <w:t xml:space="preserve">  </w:t>
      </w:r>
      <w:proofErr w:type="gramEnd"/>
      <w:r w:rsidRPr="00D5042F">
        <w:rPr>
          <w:color w:val="000000"/>
        </w:rPr>
        <w:t>São gratuitos os atos previstos em lei e os praticados em cumprimento de mandados judiciais expedidos em favor da parte beneficiária da justiça gratuita, sempre que assim for expressamente determinado pelo Juízo.</w:t>
      </w:r>
    </w:p>
  </w:footnote>
  <w:footnote w:id="22">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 xml:space="preserve">Aí há uma diferença profunda com o que vigora hoje em dia, pois se entende que o tabelião que concede descontos em seus emolumentos pratica concorrência desleal: </w:t>
      </w:r>
      <w:r w:rsidRPr="00D5042F">
        <w:rPr>
          <w:rFonts w:ascii="Times New Roman" w:hAnsi="Times New Roman" w:cs="Times New Roman"/>
          <w:color w:val="C90001"/>
          <w:sz w:val="24"/>
          <w:szCs w:val="24"/>
        </w:rPr>
        <w:t>Emolumentos</w:t>
      </w:r>
      <w:r w:rsidRPr="00D5042F">
        <w:rPr>
          <w:rFonts w:ascii="Times New Roman" w:hAnsi="Times New Roman" w:cs="Times New Roman"/>
          <w:color w:val="676767"/>
          <w:sz w:val="24"/>
          <w:szCs w:val="24"/>
        </w:rPr>
        <w:t xml:space="preserve"> - cobrança a maior - negócios simulados. Notário - concorrência desleal. Ética profissional. </w:t>
      </w:r>
      <w:r w:rsidRPr="00D5042F">
        <w:rPr>
          <w:rFonts w:ascii="Times New Roman" w:hAnsi="Times New Roman" w:cs="Times New Roman"/>
          <w:smallCaps/>
          <w:color w:val="444444"/>
          <w:sz w:val="24"/>
          <w:szCs w:val="24"/>
        </w:rPr>
        <w:t>CGJSP PROCESSO:</w:t>
      </w:r>
      <w:r w:rsidRPr="00D5042F">
        <w:rPr>
          <w:rFonts w:ascii="Times New Roman" w:hAnsi="Times New Roman" w:cs="Times New Roman"/>
          <w:color w:val="444444"/>
          <w:sz w:val="24"/>
          <w:szCs w:val="24"/>
        </w:rPr>
        <w:t xml:space="preserve"> 32.971/2013 DATA JULGAMENTO: 12/04/2013 Relator: José Renato </w:t>
      </w:r>
      <w:proofErr w:type="spellStart"/>
      <w:r w:rsidRPr="00D5042F">
        <w:rPr>
          <w:rFonts w:ascii="Times New Roman" w:hAnsi="Times New Roman" w:cs="Times New Roman"/>
          <w:color w:val="444444"/>
          <w:sz w:val="24"/>
          <w:szCs w:val="24"/>
        </w:rPr>
        <w:t>Nalini</w:t>
      </w:r>
      <w:proofErr w:type="spellEnd"/>
      <w:r w:rsidRPr="00D5042F">
        <w:rPr>
          <w:rFonts w:ascii="Times New Roman" w:hAnsi="Times New Roman" w:cs="Times New Roman"/>
          <w:color w:val="444444"/>
          <w:sz w:val="24"/>
          <w:szCs w:val="24"/>
        </w:rPr>
        <w:t xml:space="preserve"> </w:t>
      </w:r>
      <w:r w:rsidRPr="00D5042F">
        <w:rPr>
          <w:rFonts w:ascii="Times New Roman" w:hAnsi="Times New Roman" w:cs="Times New Roman"/>
          <w:color w:val="676767"/>
          <w:sz w:val="24"/>
          <w:szCs w:val="24"/>
        </w:rPr>
        <w:t xml:space="preserve">REPRESENTAÇÃO - Cobrança a maior de </w:t>
      </w:r>
      <w:r w:rsidRPr="00D5042F">
        <w:rPr>
          <w:rFonts w:ascii="Times New Roman" w:hAnsi="Times New Roman" w:cs="Times New Roman"/>
          <w:color w:val="C90001"/>
          <w:sz w:val="24"/>
          <w:szCs w:val="24"/>
        </w:rPr>
        <w:t>emolumentos</w:t>
      </w:r>
      <w:r w:rsidRPr="00D5042F">
        <w:rPr>
          <w:rFonts w:ascii="Times New Roman" w:hAnsi="Times New Roman" w:cs="Times New Roman"/>
          <w:color w:val="676767"/>
          <w:sz w:val="24"/>
          <w:szCs w:val="24"/>
        </w:rPr>
        <w:t xml:space="preserve"> - Recurso Intempestivo - Ofensa e ameaças atribuídas ao tabelião de notas - Fatos não provados - Recurso desprovido - Alegações do tabelião que evidenciam o cometimento de infrações administrativas - Prática de negócios simulados e </w:t>
      </w:r>
      <w:r w:rsidRPr="00D5042F">
        <w:rPr>
          <w:rFonts w:ascii="Times New Roman" w:hAnsi="Times New Roman" w:cs="Times New Roman"/>
          <w:b/>
          <w:bCs/>
          <w:i/>
          <w:iCs/>
          <w:color w:val="676767"/>
          <w:sz w:val="24"/>
          <w:szCs w:val="24"/>
        </w:rPr>
        <w:t xml:space="preserve">não cobrança de </w:t>
      </w:r>
      <w:r w:rsidRPr="00D5042F">
        <w:rPr>
          <w:rFonts w:ascii="Times New Roman" w:hAnsi="Times New Roman" w:cs="Times New Roman"/>
          <w:b/>
          <w:bCs/>
          <w:i/>
          <w:iCs/>
          <w:color w:val="C90001"/>
          <w:sz w:val="24"/>
          <w:szCs w:val="24"/>
        </w:rPr>
        <w:t>emolumentos</w:t>
      </w:r>
      <w:r w:rsidRPr="00D5042F">
        <w:rPr>
          <w:rFonts w:ascii="Times New Roman" w:hAnsi="Times New Roman" w:cs="Times New Roman"/>
          <w:b/>
          <w:bCs/>
          <w:i/>
          <w:iCs/>
          <w:color w:val="676767"/>
          <w:sz w:val="24"/>
          <w:szCs w:val="24"/>
        </w:rPr>
        <w:t xml:space="preserve"> - Comportamento, em tese, em descompasso com as finalidades da atividade notarial, com deveres funcionais e a evidenciar competição desleal</w:t>
      </w:r>
      <w:r w:rsidRPr="00D5042F">
        <w:rPr>
          <w:rFonts w:ascii="Times New Roman" w:hAnsi="Times New Roman" w:cs="Times New Roman"/>
          <w:color w:val="676767"/>
          <w:sz w:val="24"/>
          <w:szCs w:val="24"/>
        </w:rPr>
        <w:t xml:space="preserve"> - Instauração de processo censório-disciplinar - Determinação dirigida ao MM Juiz Corregedor Permanente.</w:t>
      </w:r>
    </w:p>
  </w:footnote>
  <w:footnote w:id="23">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 xml:space="preserve">Hoje em dia a falta de lançamento da cota de emolumentos na escritura configura o descumprimento a uma obrigação estabelecida no Estado de São Paulo pela Corregedoria Geral de Justiça, que pode vir a ser </w:t>
      </w:r>
      <w:proofErr w:type="gramStart"/>
      <w:r w:rsidRPr="00D5042F">
        <w:rPr>
          <w:rFonts w:ascii="Times New Roman" w:hAnsi="Times New Roman" w:cs="Times New Roman"/>
          <w:color w:val="000000"/>
          <w:sz w:val="24"/>
          <w:szCs w:val="24"/>
        </w:rPr>
        <w:t>considerada uma falta disciplinar, sujeita</w:t>
      </w:r>
      <w:proofErr w:type="gramEnd"/>
      <w:r w:rsidRPr="00D5042F">
        <w:rPr>
          <w:rFonts w:ascii="Times New Roman" w:hAnsi="Times New Roman" w:cs="Times New Roman"/>
          <w:color w:val="000000"/>
          <w:sz w:val="24"/>
          <w:szCs w:val="24"/>
        </w:rPr>
        <w:t xml:space="preserve"> às penas do artigo 31 da Lei 8935/94.</w:t>
      </w:r>
    </w:p>
  </w:footnote>
  <w:footnote w:id="24">
    <w:p w:rsidR="005D4C2F" w:rsidRPr="00D5042F" w:rsidRDefault="005D4C2F"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 xml:space="preserve">Hoje no Estado de São Paulo a cobrança a maior de emolumentos feita pelo tabelião está sujeita à pena do artigo 32 da Lei 11331/02: </w:t>
      </w:r>
      <w:r w:rsidRPr="00D5042F">
        <w:rPr>
          <w:b/>
          <w:bCs/>
          <w:color w:val="000000"/>
        </w:rPr>
        <w:t>Artigo 32</w:t>
      </w:r>
      <w:r w:rsidRPr="00D5042F">
        <w:rPr>
          <w:color w:val="000000"/>
        </w:rPr>
        <w:t xml:space="preserve">- Sem prejuízo da responsabilidade disciplinar, os notários, os registradores e seus prepostos estão sujeitos à pena de multa de, no mínimo, 100 (cem) e, no máximo, 500 (quinhentas) </w:t>
      </w:r>
      <w:proofErr w:type="spellStart"/>
      <w:r w:rsidRPr="00D5042F">
        <w:rPr>
          <w:color w:val="000000"/>
        </w:rPr>
        <w:t>UFESP's</w:t>
      </w:r>
      <w:proofErr w:type="spellEnd"/>
      <w:r w:rsidRPr="00D5042F">
        <w:rPr>
          <w:color w:val="000000"/>
        </w:rPr>
        <w:t>, ou outro índice que a substituir, nas hipóteses de: I - recebimento de valores não previstos ou maiores que os previstos nas tabelas, nos casos em que não caiba a aplicação do inciso I do artigo 34 desta lei; II - descumprimento das demais disposições desta lei.</w:t>
      </w:r>
    </w:p>
    <w:p w:rsidR="005D4C2F" w:rsidRPr="00D5042F" w:rsidRDefault="005D4C2F" w:rsidP="00D5042F">
      <w:pPr>
        <w:pStyle w:val="NormalWeb"/>
        <w:spacing w:before="0" w:beforeAutospacing="0" w:after="0" w:afterAutospacing="0"/>
        <w:jc w:val="both"/>
      </w:pPr>
      <w:r w:rsidRPr="00D5042F">
        <w:rPr>
          <w:color w:val="000000"/>
        </w:rPr>
        <w:t>§ 3º - Na hipótese de recebimento de importâncias indevidas ou excessivas, além da pena de multa, o infrator fica obrigado a restituir ao interessado o décuplo da quantia irregularmente cobrada.</w:t>
      </w:r>
    </w:p>
  </w:footnote>
  <w:footnote w:id="25">
    <w:p w:rsidR="005D4C2F" w:rsidRPr="00D5042F" w:rsidRDefault="005D4C2F"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 xml:space="preserve">Hoje no Estado de São Paulo a cobrança a maior de emolumentos feita pelo tabelião está sujeita à pena do artigo 32 da Lei 11331/02: </w:t>
      </w:r>
      <w:r w:rsidRPr="00D5042F">
        <w:rPr>
          <w:b/>
          <w:bCs/>
          <w:color w:val="000000"/>
        </w:rPr>
        <w:t>Artigo 32</w:t>
      </w:r>
      <w:r w:rsidRPr="00D5042F">
        <w:rPr>
          <w:color w:val="000000"/>
        </w:rPr>
        <w:t xml:space="preserve">- Sem prejuízo da responsabilidade disciplinar, os notários, os registradores e seus prepostos estão sujeitos à pena de multa de, no mínimo, 100 (cem) e, no máximo, 500 (quinhentas) </w:t>
      </w:r>
      <w:proofErr w:type="spellStart"/>
      <w:r w:rsidRPr="00D5042F">
        <w:rPr>
          <w:color w:val="000000"/>
        </w:rPr>
        <w:t>UFESP's</w:t>
      </w:r>
      <w:proofErr w:type="spellEnd"/>
      <w:r w:rsidRPr="00D5042F">
        <w:rPr>
          <w:color w:val="000000"/>
        </w:rPr>
        <w:t>, ou outro índice que a substituir, nas hipóteses de: I - recebimento de valores não previstos ou maiores que os previstos nas tabelas, nos casos em que não caiba a aplicação do inciso I do artigo 34 desta lei; II - descumprimento das demais disposições desta lei.</w:t>
      </w:r>
    </w:p>
    <w:p w:rsidR="005D4C2F" w:rsidRPr="00D5042F" w:rsidRDefault="005D4C2F" w:rsidP="00D5042F">
      <w:pPr>
        <w:pStyle w:val="Textodenotaderodap"/>
        <w:jc w:val="both"/>
        <w:rPr>
          <w:rFonts w:ascii="Times New Roman" w:hAnsi="Times New Roman" w:cs="Times New Roman"/>
          <w:sz w:val="24"/>
          <w:szCs w:val="24"/>
        </w:rPr>
      </w:pPr>
      <w:r w:rsidRPr="00D5042F">
        <w:rPr>
          <w:rFonts w:ascii="Times New Roman" w:hAnsi="Times New Roman" w:cs="Times New Roman"/>
          <w:color w:val="000000"/>
          <w:sz w:val="24"/>
          <w:szCs w:val="24"/>
        </w:rPr>
        <w:t>§ 3º - Na hipótese de recebimento de importâncias indevidas ou excessivas, além da pena de multa, o infrator fica obrigado a restituir ao interessado o décuplo da quantia irregularmente cobrada.</w:t>
      </w:r>
    </w:p>
  </w:footnote>
  <w:footnote w:id="26">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A lei dos notários e registradores expressamente prevê a possibilidade de os notários contratarem auxiliares: “Art. 20. Os notários e os oficiais de registro poderão, para o desempenho de suas funções, contratar escreventes, dentre eles escolhendo os substitutos, e auxiliares como empregados, com remuneração livremente ajustada e sob o regime da legislação do trabalho.</w:t>
      </w:r>
      <w:proofErr w:type="gramStart"/>
      <w:r w:rsidRPr="00D5042F">
        <w:rPr>
          <w:rFonts w:ascii="Times New Roman" w:hAnsi="Times New Roman" w:cs="Times New Roman"/>
          <w:color w:val="000000"/>
          <w:sz w:val="24"/>
          <w:szCs w:val="24"/>
        </w:rPr>
        <w:t>”</w:t>
      </w:r>
      <w:proofErr w:type="gramEnd"/>
    </w:p>
  </w:footnote>
  <w:footnote w:id="27">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 xml:space="preserve">Não há hoje a obrigatoriedade dessa fiança, mas a lei dos notários e registradores prevê igualmente a obrigação de </w:t>
      </w:r>
      <w:proofErr w:type="gramStart"/>
      <w:r w:rsidRPr="00D5042F">
        <w:rPr>
          <w:rFonts w:ascii="Times New Roman" w:hAnsi="Times New Roman" w:cs="Times New Roman"/>
          <w:color w:val="000000"/>
          <w:sz w:val="24"/>
          <w:szCs w:val="24"/>
        </w:rPr>
        <w:t>indenizar :</w:t>
      </w:r>
      <w:proofErr w:type="gramEnd"/>
      <w:r w:rsidRPr="00D5042F">
        <w:rPr>
          <w:rFonts w:ascii="Times New Roman" w:hAnsi="Times New Roman" w:cs="Times New Roman"/>
          <w:color w:val="000000"/>
          <w:sz w:val="24"/>
          <w:szCs w:val="24"/>
        </w:rPr>
        <w:t xml:space="preserve"> ”Art. 22. Os notários e oficiais de registro responderão pelos danos que eles e seus prepostos causem a terceiros, na prática de atos próprios da serventia, assegurado aos primeiros direito de regresso no caso de dolo ou culpa dos prepostos.”</w:t>
      </w:r>
    </w:p>
  </w:footnote>
  <w:footnote w:id="28">
    <w:p w:rsidR="005D4C2F" w:rsidRPr="00D5042F" w:rsidRDefault="005D4C2F"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Diz o Houaiss que regra é “cada uma das linhas que compõem o papel pautado”.</w:t>
      </w:r>
    </w:p>
  </w:footnote>
  <w:footnote w:id="29">
    <w:p w:rsidR="0044448C" w:rsidRPr="00D5042F" w:rsidRDefault="0044448C"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 xml:space="preserve">Ou seja, considerando que esse tabelião é o tabelião de hoje e esse escrivão é o atual escrivão judicial, o tabelião português do século XVI estava obrigado a repassar parte de sua renda ao rei, o que é parecido com a obrigação que os tabeliães paulistas de hoje têm de repassar parte de sua arrecadação ao poder público: Lei 11331/02 - </w:t>
      </w:r>
      <w:r w:rsidRPr="00D5042F">
        <w:rPr>
          <w:b/>
          <w:bCs/>
          <w:color w:val="000000"/>
        </w:rPr>
        <w:t>Artigo 19 -</w:t>
      </w:r>
      <w:r w:rsidRPr="00D5042F">
        <w:rPr>
          <w:color w:val="000000"/>
        </w:rPr>
        <w:t xml:space="preserve"> Os emolumentos correspondem aos custos dos serviços notariais e de registro na seguinte conformidade: </w:t>
      </w:r>
      <w:r w:rsidRPr="00D5042F">
        <w:rPr>
          <w:b/>
          <w:bCs/>
          <w:color w:val="000000"/>
        </w:rPr>
        <w:t>I -</w:t>
      </w:r>
      <w:r w:rsidRPr="00D5042F">
        <w:rPr>
          <w:color w:val="000000"/>
        </w:rPr>
        <w:t xml:space="preserve"> relativamente aos atos de Notas, de Registro de Imóveis, de Registro de Títulos e Documentos e Registro Civil das Pessoas Jurídicas e de Protesto de Títulos e Outros Documentos de Dívidas: </w:t>
      </w:r>
      <w:r w:rsidRPr="00D5042F">
        <w:rPr>
          <w:b/>
          <w:bCs/>
          <w:color w:val="000000"/>
        </w:rPr>
        <w:t>a)</w:t>
      </w:r>
      <w:r w:rsidRPr="00D5042F">
        <w:rPr>
          <w:color w:val="000000"/>
        </w:rPr>
        <w:t xml:space="preserve"> 62,5% (sessenta e dois inteiros e meio por cento) são receitas dos notários e registradores; </w:t>
      </w:r>
      <w:r w:rsidRPr="00D5042F">
        <w:rPr>
          <w:b/>
          <w:bCs/>
          <w:color w:val="000000"/>
        </w:rPr>
        <w:t>b)</w:t>
      </w:r>
      <w:r w:rsidRPr="00D5042F">
        <w:rPr>
          <w:color w:val="000000"/>
        </w:rPr>
        <w:t xml:space="preserve"> 17,763160% (dezessete inteiros, setecentos e sessenta e três mil, cento e sessenta centésimos de milésimos percentuais) </w:t>
      </w:r>
      <w:proofErr w:type="gramStart"/>
      <w:r w:rsidRPr="00D5042F">
        <w:rPr>
          <w:color w:val="000000"/>
        </w:rPr>
        <w:t>são</w:t>
      </w:r>
      <w:proofErr w:type="gramEnd"/>
      <w:r w:rsidRPr="00D5042F">
        <w:rPr>
          <w:color w:val="000000"/>
        </w:rPr>
        <w:t xml:space="preserve"> receita do Estado, em decorrência do processamento da arrecadação e respectiva fiscalização; </w:t>
      </w:r>
      <w:r w:rsidRPr="00D5042F">
        <w:rPr>
          <w:b/>
          <w:bCs/>
          <w:color w:val="000000"/>
        </w:rPr>
        <w:t>c)</w:t>
      </w:r>
      <w:r w:rsidRPr="00D5042F">
        <w:rPr>
          <w:color w:val="000000"/>
        </w:rPr>
        <w:t xml:space="preserve"> 13,157894% (treze inteiros, cento e </w:t>
      </w:r>
      <w:proofErr w:type="spellStart"/>
      <w:r w:rsidRPr="00D5042F">
        <w:rPr>
          <w:color w:val="000000"/>
        </w:rPr>
        <w:t>cinqüenta</w:t>
      </w:r>
      <w:proofErr w:type="spellEnd"/>
      <w:r w:rsidRPr="00D5042F">
        <w:rPr>
          <w:color w:val="000000"/>
        </w:rPr>
        <w:t xml:space="preserve"> e sete mil, oitocentos e noventa e quatro centésimos de milésimos percentuais) são contribuição à Carteira de Previdência das Serventias não Oficializadas da Justiça do Estado; </w:t>
      </w:r>
      <w:r w:rsidRPr="00D5042F">
        <w:rPr>
          <w:b/>
          <w:bCs/>
          <w:color w:val="000000"/>
        </w:rPr>
        <w:t>d)</w:t>
      </w:r>
      <w:r w:rsidRPr="00D5042F">
        <w:rPr>
          <w:color w:val="000000"/>
        </w:rPr>
        <w:t xml:space="preserve"> 3,289473% (três inteiros, duzentos e oitenta e nove mil, quatrocentos e setenta e três centésimos de milésimos percentuais) são destinados à compensação dos atos gratuitos do registro civil das pessoas naturais e à complementação da receita mínima das serventias deficitárias; </w:t>
      </w:r>
      <w:r w:rsidRPr="00D5042F">
        <w:rPr>
          <w:b/>
          <w:bCs/>
          <w:color w:val="000000"/>
        </w:rPr>
        <w:t>e)</w:t>
      </w:r>
      <w:r w:rsidRPr="00D5042F">
        <w:rPr>
          <w:color w:val="000000"/>
        </w:rPr>
        <w:t xml:space="preserve"> 3,289473% (três inteiros, duzentos e oitenta e nove mil, quatrocentos e setenta e três centésimos de milésimos percentuais) são destinados ao Fundo Especial de Despesa do Tribunal de Justiça, em decorrência da fiscalização dos serviços;</w:t>
      </w:r>
    </w:p>
  </w:footnote>
  <w:footnote w:id="30">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Hoje em dia um tabelião que praticar um ato para o qual não tem competência certamente estará sujeito a alguma pena disciplinar.</w:t>
      </w:r>
    </w:p>
  </w:footnote>
  <w:footnote w:id="31">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Capítulo XIII/item 64. Os notários e registradores manterão as Normas de Serviço da Corregedoria Geral da Justiça e as do Pessoal dos Serviços Extrajudiciais atualizadas em arquivo digitalizado, sendo facultativa a impressão.</w:t>
      </w:r>
    </w:p>
  </w:footnote>
  <w:footnote w:id="32">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Hoje em dia o exercício ilegal da função de notário configura o crime de usurpação de função pública, previsto pelo artigo 328 do Código Penal.</w:t>
      </w:r>
    </w:p>
  </w:footnote>
  <w:footnote w:id="33">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 xml:space="preserve">Hoje a Lei dos Notários e Registradores estabelece que um tabelião apenas </w:t>
      </w:r>
      <w:proofErr w:type="gramStart"/>
      <w:r w:rsidRPr="00D5042F">
        <w:rPr>
          <w:rFonts w:ascii="Times New Roman" w:hAnsi="Times New Roman" w:cs="Times New Roman"/>
          <w:color w:val="000000"/>
          <w:sz w:val="24"/>
          <w:szCs w:val="24"/>
        </w:rPr>
        <w:t>perde</w:t>
      </w:r>
      <w:proofErr w:type="gramEnd"/>
      <w:r w:rsidRPr="00D5042F">
        <w:rPr>
          <w:rFonts w:ascii="Times New Roman" w:hAnsi="Times New Roman" w:cs="Times New Roman"/>
          <w:color w:val="000000"/>
          <w:sz w:val="24"/>
          <w:szCs w:val="24"/>
        </w:rPr>
        <w:t xml:space="preserve"> a sua delegação em caso de falta grave e por decisão judicial ou administrativa proferida pela corregedoria permanente competente:  Art. 32. Os notários e os oficiais de registro estão sujeitos, pelas infrações que praticarem, assegurado amplo direito de defesa, às seguintes penas: I - repreensão; II - multa; III - suspensão por noventa dias, prorrogável por mais trinta; IV - perda da delegação. Art. 33. As penas serão aplicadas: I - a de repreensão, no caso de falta leve; II - a de multa, em caso de reincidência ou de infração que não configure falta mais grave; III - a de suspensão, em caso de reiterado descumprimento dos deveres ou de falta grave. Art. 34. As penas serão impostas pelo juízo competente, independentemente da ordem de gradação, conforme a gravidade do fato. Art. 35. A perda da delegação dependerá: I - de sentença judicial transitada em julgado; ou II - de decisão decorrente de processo administrativo instaurado pelo juízo competente, assegurado amplo direito de defesa.</w:t>
      </w:r>
    </w:p>
  </w:footnote>
  <w:footnote w:id="34">
    <w:p w:rsidR="0044448C" w:rsidRPr="00D5042F" w:rsidRDefault="0044448C"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 xml:space="preserve">Hoje em dia não existe mais, pelo menos no Estado de São Paulo, a obrigação de o corregedor do tabelionato </w:t>
      </w:r>
      <w:proofErr w:type="spellStart"/>
      <w:r w:rsidRPr="00D5042F">
        <w:rPr>
          <w:color w:val="000000"/>
        </w:rPr>
        <w:t>vistar</w:t>
      </w:r>
      <w:proofErr w:type="spellEnd"/>
      <w:r w:rsidRPr="00D5042F">
        <w:rPr>
          <w:color w:val="000000"/>
        </w:rPr>
        <w:t xml:space="preserve"> as folhas do livro de escrituras, havendo apenas a obrigação genérica de o tabelião </w:t>
      </w:r>
      <w:proofErr w:type="gramStart"/>
      <w:r w:rsidRPr="00D5042F">
        <w:rPr>
          <w:color w:val="000000"/>
        </w:rPr>
        <w:t>conservar</w:t>
      </w:r>
      <w:proofErr w:type="gramEnd"/>
      <w:r w:rsidRPr="00D5042F">
        <w:rPr>
          <w:color w:val="000000"/>
        </w:rPr>
        <w:t xml:space="preserve"> bem seus livros: Art. 30. São deveres dos notários e dos oficiais de registro: I - manter em ordem os livros, papéis e documentos de sua serventia, guardando-os em locais seguros;</w:t>
      </w:r>
    </w:p>
  </w:footnote>
  <w:footnote w:id="35">
    <w:p w:rsidR="0044448C" w:rsidRPr="00D5042F" w:rsidRDefault="0044448C"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 xml:space="preserve">Art. 1.102.a - A ação monitória compete a quem pretender, com base em prova escrita sem eficácia de título executivo, pagamento de soma em dinheiro, entrega de coisa fungível ou de determinado bem móvel. Art. 1.102.b - Estando a petição inicial devidamente instruída, o Juiz deferirá de plano a expedição do mandado de pagamento ou de entrega da coisa no prazo de quinze dias. Art. 1.102.c - No prazo previsto no artigo anterior, poderá o réu oferecer embargos, que suspenderão a eficácia do mandado inicial. Se os embargos não forem opostos, constituir-se-á, de pleno direito, o título executivo judicial, convertendo-se o mandado inicial em mandado executivo e prosseguindo-se na forma prevista no Livro II, Título II, Capítulos II e IV. Art. 1.102-C. No prazo previsto no art. 1.102-B, poderá o réu oferecer embargos, que suspenderão a eficácia do mandado inicial. Se os embargos não forem opostos, constituir-se-á, de pleno direito, o título executivo judicial, convertendo-se o mandado inicial em mandado executivo e prosseguindo-se na forma do Livro I, Título VIII, Capítulo X, desta </w:t>
      </w:r>
      <w:proofErr w:type="gramStart"/>
      <w:r w:rsidRPr="00D5042F">
        <w:rPr>
          <w:color w:val="000000"/>
        </w:rPr>
        <w:t>Lei.</w:t>
      </w:r>
      <w:proofErr w:type="gramEnd"/>
      <w:r w:rsidRPr="00D5042F">
        <w:fldChar w:fldCharType="begin"/>
      </w:r>
      <w:r w:rsidRPr="00D5042F">
        <w:instrText xml:space="preserve"> HYPERLINK "http://www.planalto.gov.br/ccivil_03/_Ato2004-2006/2005/Lei/L11232.htm" \l "art6" </w:instrText>
      </w:r>
      <w:r w:rsidRPr="00D5042F">
        <w:fldChar w:fldCharType="separate"/>
      </w:r>
      <w:r w:rsidRPr="00D5042F">
        <w:rPr>
          <w:rStyle w:val="Hyperlink"/>
          <w:color w:val="000000"/>
        </w:rPr>
        <w:t xml:space="preserve"> </w:t>
      </w:r>
      <w:r w:rsidRPr="00D5042F">
        <w:fldChar w:fldCharType="end"/>
      </w:r>
      <w:r w:rsidRPr="00D5042F">
        <w:rPr>
          <w:color w:val="000000"/>
        </w:rPr>
        <w:t>§ 1</w:t>
      </w:r>
      <w:r w:rsidRPr="00D5042F">
        <w:rPr>
          <w:color w:val="000000"/>
          <w:vertAlign w:val="superscript"/>
        </w:rPr>
        <w:t>o</w:t>
      </w:r>
      <w:r w:rsidRPr="00D5042F">
        <w:rPr>
          <w:color w:val="000000"/>
        </w:rPr>
        <w:t xml:space="preserve"> Cumprindo o réu o mandado, ficará isento de custas e honorários advocatícios.</w:t>
      </w:r>
      <w:hyperlink r:id="rId1" w:anchor="art1102a" w:history="1">
        <w:r w:rsidRPr="00D5042F">
          <w:rPr>
            <w:rStyle w:val="Hyperlink"/>
            <w:color w:val="000000"/>
          </w:rPr>
          <w:t xml:space="preserve"> </w:t>
        </w:r>
      </w:hyperlink>
      <w:r w:rsidRPr="00D5042F">
        <w:rPr>
          <w:color w:val="000000"/>
        </w:rPr>
        <w:t>§ 2</w:t>
      </w:r>
      <w:r w:rsidRPr="00D5042F">
        <w:rPr>
          <w:color w:val="000000"/>
          <w:vertAlign w:val="superscript"/>
        </w:rPr>
        <w:t>o</w:t>
      </w:r>
      <w:r w:rsidRPr="00D5042F">
        <w:rPr>
          <w:color w:val="000000"/>
        </w:rPr>
        <w:t xml:space="preserve"> Os embargos independem de prévia segurança do juízo e serão processados nos próprios autos, pelo procedimento ordinário. § 3</w:t>
      </w:r>
      <w:r w:rsidRPr="00D5042F">
        <w:rPr>
          <w:color w:val="000000"/>
          <w:u w:val="single"/>
          <w:vertAlign w:val="superscript"/>
        </w:rPr>
        <w:t>o</w:t>
      </w:r>
      <w:r w:rsidRPr="00D5042F">
        <w:rPr>
          <w:color w:val="000000"/>
        </w:rPr>
        <w:t xml:space="preserve"> Rejeitados os embargos, constituir-se-á, de pleno direito, o título executivo judicial, intimando-se o devedor e prosseguindo-se na forma prevista no Livro I, Título VIII, Capítulo X, desta Lei.</w:t>
      </w:r>
    </w:p>
    <w:p w:rsidR="0044448C" w:rsidRPr="00D5042F" w:rsidRDefault="0044448C" w:rsidP="00D5042F">
      <w:pPr>
        <w:pStyle w:val="Textodenotaderodap"/>
        <w:jc w:val="both"/>
        <w:rPr>
          <w:rFonts w:ascii="Times New Roman" w:hAnsi="Times New Roman" w:cs="Times New Roman"/>
          <w:sz w:val="24"/>
          <w:szCs w:val="24"/>
        </w:rPr>
      </w:pPr>
    </w:p>
  </w:footnote>
  <w:footnote w:id="36">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Art. 401. A prova exclusivamente testemunhal só se admite nos contratos cujo valor não exceda o décuplo do maior salário mínimo vigente no país, ao tempo em que foram celebrados.</w:t>
      </w:r>
    </w:p>
  </w:footnote>
  <w:footnote w:id="37">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Art. 108. Não dispondo a lei em contrário, a escritura pública é essencial à validade dos negócios jurídicos que visem à constituição, transferência, modificação ou renúncia de direitos reais sobre imóveis de valor superior a trinta vezes o maior salário mínimo vigente no País.</w:t>
      </w:r>
    </w:p>
  </w:footnote>
  <w:footnote w:id="38">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Art. 215. A escritura pública, lavrada em notas de tabelião, é documento dotado de fé pública, fazendo prova plena.</w:t>
      </w:r>
    </w:p>
  </w:footnote>
  <w:footnote w:id="39">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Art. 227. Salvo os casos expressos, a prova exclusivamente testemunhal só se admite nos negócios jurídicos cujo valor não ultrapasse o décuplo do maior salário mínimo vigente no País ao tempo em que foram celebrados.</w:t>
      </w:r>
    </w:p>
  </w:footnote>
  <w:footnote w:id="40">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Quer crer o autor que hoje, em razão do artigo 215 do Código Civil citado acima, a escritura pública faz sempre prova plena daquilo que o tabelião afirma ter presenciado, ficando ressalvado à parte o direito de provar que a afirmação notarial é falsa, não sendo automática a conclusão de que a escritura é falsa no caso de o respectivo tabelião ter sido considerado falsário em outro caso.</w:t>
      </w:r>
    </w:p>
  </w:footnote>
  <w:footnote w:id="41">
    <w:p w:rsidR="0044448C" w:rsidRPr="00D5042F" w:rsidRDefault="0044448C"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Art. 283.  Ninguém poderá ser preso senão em flagrante delito ou por ordem escrita e fundamentada da autoridade judiciária competente, em decorrência de sentença condenatória transitada em julgado ou, no curso da investigação ou do processo, em virtude de prisão temporária ou prisão preventiva.</w:t>
      </w:r>
    </w:p>
    <w:p w:rsidR="0044448C" w:rsidRPr="00D5042F" w:rsidRDefault="0044448C" w:rsidP="00D5042F">
      <w:pPr>
        <w:pStyle w:val="Textodenotaderodap"/>
        <w:jc w:val="both"/>
        <w:rPr>
          <w:rFonts w:ascii="Times New Roman" w:hAnsi="Times New Roman" w:cs="Times New Roman"/>
          <w:sz w:val="24"/>
          <w:szCs w:val="24"/>
        </w:rPr>
      </w:pPr>
    </w:p>
  </w:footnote>
  <w:footnote w:id="42">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Art. 1647/Código Civil. Ressalvado o disposto no art. 1648, nenhum dos cônjuges pode, sem autorização do outro, exceto no regime da separação absoluta: I - alienar ou gravar de ônus real os bens imóveis; II - pleitear, como autor ou réu, acerca desses bens ou direitos; III - prestar fiança ou aval;</w:t>
      </w:r>
    </w:p>
  </w:footnote>
  <w:footnote w:id="43">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 xml:space="preserve">Art. 1.642. Qualquer que seja o regime de bens, tanto o marido quanto a mulher podem livremente: (...) V - reivindicar os bens comuns, móveis ou imóveis, doados ou transferidos pelo outro cônjuge ao </w:t>
      </w:r>
      <w:proofErr w:type="spellStart"/>
      <w:r w:rsidRPr="00D5042F">
        <w:rPr>
          <w:rFonts w:ascii="Times New Roman" w:hAnsi="Times New Roman" w:cs="Times New Roman"/>
          <w:color w:val="000000"/>
          <w:sz w:val="24"/>
          <w:szCs w:val="24"/>
        </w:rPr>
        <w:t>concubino</w:t>
      </w:r>
      <w:proofErr w:type="spellEnd"/>
      <w:r w:rsidRPr="00D5042F">
        <w:rPr>
          <w:rFonts w:ascii="Times New Roman" w:hAnsi="Times New Roman" w:cs="Times New Roman"/>
          <w:color w:val="000000"/>
          <w:sz w:val="24"/>
          <w:szCs w:val="24"/>
        </w:rPr>
        <w:t>, desde que provado que os bens não foram adquiridos pelo esforço comum destes, se o casal estiver separado de fato por mais de cinco anos;</w:t>
      </w:r>
    </w:p>
  </w:footnote>
  <w:footnote w:id="44">
    <w:p w:rsidR="0044448C" w:rsidRPr="00D5042F" w:rsidRDefault="0044448C"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 xml:space="preserve">Art. 1.088. Quando o instrumento público for exigido como prova do contrato, qualquer </w:t>
      </w:r>
      <w:proofErr w:type="gramStart"/>
      <w:r w:rsidRPr="00D5042F">
        <w:rPr>
          <w:color w:val="000000"/>
        </w:rPr>
        <w:t>da partes</w:t>
      </w:r>
      <w:proofErr w:type="gramEnd"/>
      <w:r w:rsidRPr="00D5042F">
        <w:rPr>
          <w:color w:val="000000"/>
        </w:rPr>
        <w:t xml:space="preserve"> pode arrepender-se, antes de o assinar, ressarcindo à outra as perdas e danos resultantes do arrependimento, sem prejuízo do estatuído nos </w:t>
      </w:r>
      <w:proofErr w:type="spellStart"/>
      <w:r w:rsidRPr="00D5042F">
        <w:rPr>
          <w:color w:val="000000"/>
        </w:rPr>
        <w:t>arts</w:t>
      </w:r>
      <w:proofErr w:type="spellEnd"/>
      <w:r w:rsidRPr="00D5042F">
        <w:rPr>
          <w:color w:val="000000"/>
        </w:rPr>
        <w:t>. 1.095 a 1.097.</w:t>
      </w:r>
    </w:p>
  </w:footnote>
  <w:footnote w:id="45">
    <w:p w:rsidR="0044448C" w:rsidRPr="00D5042F" w:rsidRDefault="0044448C" w:rsidP="00D5042F">
      <w:pPr>
        <w:pStyle w:val="NormalWeb"/>
        <w:spacing w:before="0" w:beforeAutospacing="0" w:after="0" w:afterAutospacing="0"/>
        <w:jc w:val="both"/>
      </w:pPr>
      <w:r w:rsidRPr="00D5042F">
        <w:rPr>
          <w:rStyle w:val="Refdenotaderodap"/>
        </w:rPr>
        <w:footnoteRef/>
      </w:r>
      <w:r w:rsidRPr="00D5042F">
        <w:t xml:space="preserve"> </w:t>
      </w:r>
      <w:r w:rsidRPr="00D5042F">
        <w:rPr>
          <w:color w:val="000000"/>
        </w:rPr>
        <w:t>Art. 215/Código Civil. A escritura pública, lavrada em notas de tabelião, é documento dotado de fé pública, fazendo prova plena. § 1</w:t>
      </w:r>
      <w:r w:rsidRPr="00D5042F">
        <w:rPr>
          <w:color w:val="000000"/>
          <w:u w:val="single"/>
          <w:vertAlign w:val="superscript"/>
        </w:rPr>
        <w:t>o</w:t>
      </w:r>
      <w:r w:rsidRPr="00D5042F">
        <w:rPr>
          <w:color w:val="000000"/>
        </w:rPr>
        <w:t xml:space="preserve"> Salvo quando exigidos por lei outros requisitos, a escritura pública deve conter: I - data e local de sua realização;</w:t>
      </w:r>
    </w:p>
  </w:footnote>
  <w:footnote w:id="46">
    <w:p w:rsidR="0044448C" w:rsidRPr="00D5042F" w:rsidRDefault="0044448C" w:rsidP="00D5042F">
      <w:pPr>
        <w:pStyle w:val="Textodenotaderodap"/>
        <w:jc w:val="both"/>
        <w:rPr>
          <w:rFonts w:ascii="Times New Roman" w:hAnsi="Times New Roman" w:cs="Times New Roman"/>
          <w:sz w:val="24"/>
          <w:szCs w:val="24"/>
        </w:rPr>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Art. 496. É anulável a venda de ascendente a descendente, salvo se os outros descendentes e o cônjuge do alienante expressamente houverem consentido.</w:t>
      </w:r>
    </w:p>
  </w:footnote>
  <w:footnote w:id="47">
    <w:p w:rsidR="0044448C" w:rsidRDefault="0044448C" w:rsidP="00D5042F">
      <w:pPr>
        <w:pStyle w:val="Textodenotaderodap"/>
        <w:jc w:val="both"/>
      </w:pPr>
      <w:r w:rsidRPr="00D5042F">
        <w:rPr>
          <w:rStyle w:val="Refdenotaderodap"/>
          <w:rFonts w:ascii="Times New Roman" w:hAnsi="Times New Roman" w:cs="Times New Roman"/>
          <w:sz w:val="24"/>
          <w:szCs w:val="24"/>
        </w:rPr>
        <w:footnoteRef/>
      </w:r>
      <w:r w:rsidRPr="00D5042F">
        <w:rPr>
          <w:rFonts w:ascii="Times New Roman" w:hAnsi="Times New Roman" w:cs="Times New Roman"/>
          <w:sz w:val="24"/>
          <w:szCs w:val="24"/>
        </w:rPr>
        <w:t xml:space="preserve"> </w:t>
      </w:r>
      <w:r w:rsidRPr="00D5042F">
        <w:rPr>
          <w:rFonts w:ascii="Times New Roman" w:hAnsi="Times New Roman" w:cs="Times New Roman"/>
          <w:color w:val="000000"/>
          <w:sz w:val="24"/>
          <w:szCs w:val="24"/>
        </w:rPr>
        <w:t>É curioso que o lugar do degredo variava conforme o crime cometido.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9E"/>
    <w:rsid w:val="000C435B"/>
    <w:rsid w:val="0013331A"/>
    <w:rsid w:val="0044448C"/>
    <w:rsid w:val="005D4C2F"/>
    <w:rsid w:val="006E7C63"/>
    <w:rsid w:val="008A5120"/>
    <w:rsid w:val="00CD43B0"/>
    <w:rsid w:val="00D5042F"/>
    <w:rsid w:val="00F423C4"/>
    <w:rsid w:val="00F55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55E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F55E9E"/>
  </w:style>
  <w:style w:type="character" w:styleId="Hyperlink">
    <w:name w:val="Hyperlink"/>
    <w:basedOn w:val="Fontepargpadro"/>
    <w:uiPriority w:val="99"/>
    <w:unhideWhenUsed/>
    <w:rsid w:val="00F55E9E"/>
    <w:rPr>
      <w:color w:val="0000FF"/>
      <w:u w:val="single"/>
    </w:rPr>
  </w:style>
  <w:style w:type="paragraph" w:styleId="Textodenotaderodap">
    <w:name w:val="footnote text"/>
    <w:basedOn w:val="Normal"/>
    <w:link w:val="TextodenotaderodapChar"/>
    <w:uiPriority w:val="99"/>
    <w:semiHidden/>
    <w:unhideWhenUsed/>
    <w:rsid w:val="000C435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435B"/>
    <w:rPr>
      <w:sz w:val="20"/>
      <w:szCs w:val="20"/>
    </w:rPr>
  </w:style>
  <w:style w:type="character" w:styleId="Refdenotaderodap">
    <w:name w:val="footnote reference"/>
    <w:basedOn w:val="Fontepargpadro"/>
    <w:uiPriority w:val="99"/>
    <w:semiHidden/>
    <w:unhideWhenUsed/>
    <w:rsid w:val="000C43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55E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F55E9E"/>
  </w:style>
  <w:style w:type="character" w:styleId="Hyperlink">
    <w:name w:val="Hyperlink"/>
    <w:basedOn w:val="Fontepargpadro"/>
    <w:uiPriority w:val="99"/>
    <w:unhideWhenUsed/>
    <w:rsid w:val="00F55E9E"/>
    <w:rPr>
      <w:color w:val="0000FF"/>
      <w:u w:val="single"/>
    </w:rPr>
  </w:style>
  <w:style w:type="paragraph" w:styleId="Textodenotaderodap">
    <w:name w:val="footnote text"/>
    <w:basedOn w:val="Normal"/>
    <w:link w:val="TextodenotaderodapChar"/>
    <w:uiPriority w:val="99"/>
    <w:semiHidden/>
    <w:unhideWhenUsed/>
    <w:rsid w:val="000C435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435B"/>
    <w:rPr>
      <w:sz w:val="20"/>
      <w:szCs w:val="20"/>
    </w:rPr>
  </w:style>
  <w:style w:type="character" w:styleId="Refdenotaderodap">
    <w:name w:val="footnote reference"/>
    <w:basedOn w:val="Fontepargpadro"/>
    <w:uiPriority w:val="99"/>
    <w:semiHidden/>
    <w:unhideWhenUsed/>
    <w:rsid w:val="000C43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7027">
      <w:bodyDiv w:val="1"/>
      <w:marLeft w:val="0"/>
      <w:marRight w:val="0"/>
      <w:marTop w:val="0"/>
      <w:marBottom w:val="0"/>
      <w:divBdr>
        <w:top w:val="none" w:sz="0" w:space="0" w:color="auto"/>
        <w:left w:val="none" w:sz="0" w:space="0" w:color="auto"/>
        <w:bottom w:val="none" w:sz="0" w:space="0" w:color="auto"/>
        <w:right w:val="none" w:sz="0" w:space="0" w:color="auto"/>
      </w:divBdr>
    </w:div>
    <w:div w:id="46417411">
      <w:bodyDiv w:val="1"/>
      <w:marLeft w:val="0"/>
      <w:marRight w:val="0"/>
      <w:marTop w:val="0"/>
      <w:marBottom w:val="0"/>
      <w:divBdr>
        <w:top w:val="none" w:sz="0" w:space="0" w:color="auto"/>
        <w:left w:val="none" w:sz="0" w:space="0" w:color="auto"/>
        <w:bottom w:val="none" w:sz="0" w:space="0" w:color="auto"/>
        <w:right w:val="none" w:sz="0" w:space="0" w:color="auto"/>
      </w:divBdr>
    </w:div>
    <w:div w:id="817454907">
      <w:bodyDiv w:val="1"/>
      <w:marLeft w:val="0"/>
      <w:marRight w:val="0"/>
      <w:marTop w:val="0"/>
      <w:marBottom w:val="0"/>
      <w:divBdr>
        <w:top w:val="none" w:sz="0" w:space="0" w:color="auto"/>
        <w:left w:val="none" w:sz="0" w:space="0" w:color="auto"/>
        <w:bottom w:val="none" w:sz="0" w:space="0" w:color="auto"/>
        <w:right w:val="none" w:sz="0" w:space="0" w:color="auto"/>
      </w:divBdr>
    </w:div>
    <w:div w:id="1146356831">
      <w:bodyDiv w:val="1"/>
      <w:marLeft w:val="0"/>
      <w:marRight w:val="0"/>
      <w:marTop w:val="0"/>
      <w:marBottom w:val="0"/>
      <w:divBdr>
        <w:top w:val="none" w:sz="0" w:space="0" w:color="auto"/>
        <w:left w:val="none" w:sz="0" w:space="0" w:color="auto"/>
        <w:bottom w:val="none" w:sz="0" w:space="0" w:color="auto"/>
        <w:right w:val="none" w:sz="0" w:space="0" w:color="auto"/>
      </w:divBdr>
    </w:div>
    <w:div w:id="1175655131">
      <w:bodyDiv w:val="1"/>
      <w:marLeft w:val="0"/>
      <w:marRight w:val="0"/>
      <w:marTop w:val="0"/>
      <w:marBottom w:val="0"/>
      <w:divBdr>
        <w:top w:val="none" w:sz="0" w:space="0" w:color="auto"/>
        <w:left w:val="none" w:sz="0" w:space="0" w:color="auto"/>
        <w:bottom w:val="none" w:sz="0" w:space="0" w:color="auto"/>
        <w:right w:val="none" w:sz="0" w:space="0" w:color="auto"/>
      </w:divBdr>
    </w:div>
    <w:div w:id="1190725856">
      <w:bodyDiv w:val="1"/>
      <w:marLeft w:val="0"/>
      <w:marRight w:val="0"/>
      <w:marTop w:val="0"/>
      <w:marBottom w:val="0"/>
      <w:divBdr>
        <w:top w:val="none" w:sz="0" w:space="0" w:color="auto"/>
        <w:left w:val="none" w:sz="0" w:space="0" w:color="auto"/>
        <w:bottom w:val="none" w:sz="0" w:space="0" w:color="auto"/>
        <w:right w:val="none" w:sz="0" w:space="0" w:color="auto"/>
      </w:divBdr>
    </w:div>
    <w:div w:id="1273824567">
      <w:bodyDiv w:val="1"/>
      <w:marLeft w:val="0"/>
      <w:marRight w:val="0"/>
      <w:marTop w:val="0"/>
      <w:marBottom w:val="0"/>
      <w:divBdr>
        <w:top w:val="none" w:sz="0" w:space="0" w:color="auto"/>
        <w:left w:val="none" w:sz="0" w:space="0" w:color="auto"/>
        <w:bottom w:val="none" w:sz="0" w:space="0" w:color="auto"/>
        <w:right w:val="none" w:sz="0" w:space="0" w:color="auto"/>
      </w:divBdr>
    </w:div>
    <w:div w:id="1515800504">
      <w:bodyDiv w:val="1"/>
      <w:marLeft w:val="0"/>
      <w:marRight w:val="0"/>
      <w:marTop w:val="0"/>
      <w:marBottom w:val="0"/>
      <w:divBdr>
        <w:top w:val="none" w:sz="0" w:space="0" w:color="auto"/>
        <w:left w:val="none" w:sz="0" w:space="0" w:color="auto"/>
        <w:bottom w:val="none" w:sz="0" w:space="0" w:color="auto"/>
        <w:right w:val="none" w:sz="0" w:space="0" w:color="auto"/>
      </w:divBdr>
    </w:div>
    <w:div w:id="1810200623">
      <w:bodyDiv w:val="1"/>
      <w:marLeft w:val="0"/>
      <w:marRight w:val="0"/>
      <w:marTop w:val="0"/>
      <w:marBottom w:val="0"/>
      <w:divBdr>
        <w:top w:val="none" w:sz="0" w:space="0" w:color="auto"/>
        <w:left w:val="none" w:sz="0" w:space="0" w:color="auto"/>
        <w:bottom w:val="none" w:sz="0" w:space="0" w:color="auto"/>
        <w:right w:val="none" w:sz="0" w:space="0" w:color="auto"/>
      </w:divBdr>
    </w:div>
    <w:div w:id="1845630884">
      <w:bodyDiv w:val="1"/>
      <w:marLeft w:val="0"/>
      <w:marRight w:val="0"/>
      <w:marTop w:val="0"/>
      <w:marBottom w:val="0"/>
      <w:divBdr>
        <w:top w:val="none" w:sz="0" w:space="0" w:color="auto"/>
        <w:left w:val="none" w:sz="0" w:space="0" w:color="auto"/>
        <w:bottom w:val="none" w:sz="0" w:space="0" w:color="auto"/>
        <w:right w:val="none" w:sz="0" w:space="0" w:color="auto"/>
      </w:divBdr>
    </w:div>
    <w:div w:id="1936937089">
      <w:bodyDiv w:val="1"/>
      <w:marLeft w:val="0"/>
      <w:marRight w:val="0"/>
      <w:marTop w:val="0"/>
      <w:marBottom w:val="0"/>
      <w:divBdr>
        <w:top w:val="none" w:sz="0" w:space="0" w:color="auto"/>
        <w:left w:val="none" w:sz="0" w:space="0" w:color="auto"/>
        <w:bottom w:val="none" w:sz="0" w:space="0" w:color="auto"/>
        <w:right w:val="none" w:sz="0" w:space="0" w:color="auto"/>
      </w:divBdr>
    </w:div>
    <w:div w:id="2073039241">
      <w:bodyDiv w:val="1"/>
      <w:marLeft w:val="0"/>
      <w:marRight w:val="0"/>
      <w:marTop w:val="0"/>
      <w:marBottom w:val="0"/>
      <w:divBdr>
        <w:top w:val="none" w:sz="0" w:space="0" w:color="auto"/>
        <w:left w:val="none" w:sz="0" w:space="0" w:color="auto"/>
        <w:bottom w:val="none" w:sz="0" w:space="0" w:color="auto"/>
        <w:right w:val="none" w:sz="0" w:space="0" w:color="auto"/>
      </w:divBdr>
    </w:div>
    <w:div w:id="21302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c.pt/ihti/proj/manuelinas//ordemanu.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s.usp.br/rfdusp/article/view/67732/70340" TargetMode="External"/><Relationship Id="rId5" Type="http://schemas.openxmlformats.org/officeDocument/2006/relationships/webSettings" Target="webSettings.xml"/><Relationship Id="rId10" Type="http://schemas.openxmlformats.org/officeDocument/2006/relationships/hyperlink" Target="http://www.revistas.usp.br/rfdusp/article/view/67236/69846" TargetMode="External"/><Relationship Id="rId4" Type="http://schemas.openxmlformats.org/officeDocument/2006/relationships/settings" Target="settings.xml"/><Relationship Id="rId9" Type="http://schemas.openxmlformats.org/officeDocument/2006/relationships/hyperlink" Target="http://www.revistas.usp.br/rfdusp/article/view/67454/7006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leis/L907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A93A-D71E-458A-826E-11E2CF61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5249</Words>
  <Characters>28345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2015-06-08T17:55:00Z</dcterms:created>
  <dcterms:modified xsi:type="dcterms:W3CDTF">2015-06-08T17:55:00Z</dcterms:modified>
</cp:coreProperties>
</file>